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421F" w:rsidR="00C067C8" w:rsidP="005E421F" w:rsidRDefault="00C067C8" w14:paraId="35347A03" w14:textId="02751785">
      <w:pPr>
        <w:pStyle w:val="Title"/>
        <w:rPr>
          <w:rFonts w:eastAsia="Times New Roman"/>
          <w:sz w:val="32"/>
          <w:szCs w:val="32"/>
        </w:rPr>
      </w:pPr>
      <w:r w:rsidRPr="67EFD602">
        <w:rPr>
          <w:rFonts w:eastAsia="Times New Roman"/>
          <w:sz w:val="32"/>
          <w:szCs w:val="32"/>
        </w:rPr>
        <w:t>Los Angeles Mission College 2</w:t>
      </w:r>
      <w:r w:rsidR="00280E80">
        <w:rPr>
          <w:rFonts w:eastAsia="Times New Roman"/>
          <w:sz w:val="32"/>
          <w:szCs w:val="32"/>
        </w:rPr>
        <w:t>4</w:t>
      </w:r>
      <w:r w:rsidRPr="67EFD602">
        <w:rPr>
          <w:rFonts w:eastAsia="Times New Roman"/>
          <w:sz w:val="32"/>
          <w:szCs w:val="32"/>
        </w:rPr>
        <w:t>-2</w:t>
      </w:r>
      <w:r w:rsidR="00280E80">
        <w:rPr>
          <w:rFonts w:eastAsia="Times New Roman"/>
          <w:sz w:val="32"/>
          <w:szCs w:val="32"/>
        </w:rPr>
        <w:t>5</w:t>
      </w:r>
      <w:bookmarkStart w:name="_GoBack" w:id="0"/>
      <w:bookmarkEnd w:id="0"/>
    </w:p>
    <w:p w:rsidR="005E421F" w:rsidP="005E421F" w:rsidRDefault="00C067C8" w14:paraId="543DDB67" w14:textId="76CF343D">
      <w:pPr>
        <w:pStyle w:val="Title"/>
        <w:rPr>
          <w:rFonts w:eastAsia="Times New Roman"/>
          <w:sz w:val="32"/>
          <w:szCs w:val="32"/>
        </w:rPr>
      </w:pPr>
      <w:r w:rsidRPr="005E421F">
        <w:rPr>
          <w:rFonts w:eastAsia="Times New Roman"/>
          <w:sz w:val="32"/>
          <w:szCs w:val="32"/>
        </w:rPr>
        <w:t xml:space="preserve">Communication Studies </w:t>
      </w:r>
      <w:bookmarkStart w:name="_Int_oDSQ3VUd" w:id="1"/>
      <w:r w:rsidR="00404F6F">
        <w:rPr>
          <w:rFonts w:eastAsia="Times New Roman"/>
          <w:sz w:val="32"/>
          <w:szCs w:val="32"/>
        </w:rPr>
        <w:t xml:space="preserve">2.0 </w:t>
      </w:r>
      <w:r w:rsidRPr="005E421F">
        <w:rPr>
          <w:rFonts w:eastAsia="Times New Roman"/>
          <w:sz w:val="32"/>
          <w:szCs w:val="32"/>
        </w:rPr>
        <w:t>Associate Degree</w:t>
      </w:r>
      <w:bookmarkEnd w:id="1"/>
      <w:r w:rsidRPr="005E421F">
        <w:rPr>
          <w:rFonts w:eastAsia="Times New Roman"/>
          <w:sz w:val="32"/>
          <w:szCs w:val="32"/>
        </w:rPr>
        <w:t xml:space="preserve"> for Transfer (ADT)</w:t>
      </w:r>
    </w:p>
    <w:p w:rsidRPr="007D3364" w:rsidR="0071023F" w:rsidP="005E421F" w:rsidRDefault="55D8FEA1" w14:paraId="6CDB3E83" w14:textId="464627DC">
      <w:pPr>
        <w:pStyle w:val="Heading1"/>
        <w:rPr>
          <w:rFonts w:eastAsia="Times New Roman"/>
          <w:color w:val="000000" w:themeColor="text1"/>
          <w:sz w:val="28"/>
          <w:szCs w:val="28"/>
        </w:rPr>
      </w:pPr>
      <w:r w:rsidRPr="007D3364">
        <w:rPr>
          <w:color w:val="000000" w:themeColor="text1"/>
          <w:sz w:val="28"/>
          <w:szCs w:val="28"/>
        </w:rPr>
        <w:t>ADT: Communication Studies</w:t>
      </w:r>
      <w:r w:rsidR="00404F6F">
        <w:rPr>
          <w:color w:val="000000" w:themeColor="text1"/>
          <w:sz w:val="28"/>
          <w:szCs w:val="28"/>
        </w:rPr>
        <w:t xml:space="preserve"> 2.0</w:t>
      </w:r>
    </w:p>
    <w:p w:rsidR="0071023F" w:rsidP="59D368C5" w:rsidRDefault="0071023F" w14:paraId="0304B2D8" w14:textId="2EF636E7"/>
    <w:p w:rsidR="0071023F" w:rsidP="59D368C5" w:rsidRDefault="55D8FEA1" w14:paraId="15491AB7" w14:textId="7A6A402E">
      <w:pPr>
        <w:rPr>
          <w:rFonts w:eastAsiaTheme="minorEastAsia"/>
          <w:color w:val="000000" w:themeColor="text1"/>
          <w:sz w:val="24"/>
          <w:szCs w:val="24"/>
        </w:rPr>
      </w:pPr>
      <w:r w:rsidRPr="59D368C5">
        <w:rPr>
          <w:rFonts w:eastAsiaTheme="minorEastAsia"/>
          <w:color w:val="000000" w:themeColor="text1"/>
          <w:sz w:val="24"/>
          <w:szCs w:val="24"/>
        </w:rPr>
        <w:t xml:space="preserve">The </w:t>
      </w:r>
      <w:bookmarkStart w:name="_Int_j1ciDGDC" w:id="2"/>
      <w:r w:rsidRPr="59D368C5">
        <w:rPr>
          <w:rFonts w:eastAsiaTheme="minorEastAsia"/>
          <w:color w:val="000000" w:themeColor="text1"/>
          <w:sz w:val="24"/>
          <w:szCs w:val="24"/>
        </w:rPr>
        <w:t>Associate in Arts</w:t>
      </w:r>
      <w:bookmarkEnd w:id="2"/>
      <w:r w:rsidRPr="59D368C5">
        <w:rPr>
          <w:rFonts w:eastAsiaTheme="minorEastAsia"/>
          <w:color w:val="000000" w:themeColor="text1"/>
          <w:sz w:val="24"/>
          <w:szCs w:val="24"/>
        </w:rPr>
        <w:t xml:space="preserve"> (A.A.) </w:t>
      </w:r>
      <w:r w:rsidRPr="59D368C5" w:rsidR="113BEF30">
        <w:rPr>
          <w:rFonts w:eastAsiaTheme="minorEastAsia"/>
          <w:color w:val="000000" w:themeColor="text1"/>
          <w:sz w:val="24"/>
          <w:szCs w:val="24"/>
        </w:rPr>
        <w:t>d</w:t>
      </w:r>
      <w:r w:rsidRPr="59D368C5">
        <w:rPr>
          <w:rFonts w:eastAsiaTheme="minorEastAsia"/>
          <w:color w:val="000000" w:themeColor="text1"/>
          <w:sz w:val="24"/>
          <w:szCs w:val="24"/>
        </w:rPr>
        <w:t xml:space="preserve">egree in Communication Studies </w:t>
      </w:r>
      <w:r w:rsidR="00404F6F">
        <w:rPr>
          <w:rFonts w:eastAsiaTheme="minorEastAsia"/>
          <w:color w:val="000000" w:themeColor="text1"/>
          <w:sz w:val="24"/>
          <w:szCs w:val="24"/>
        </w:rPr>
        <w:t xml:space="preserve">2.0 </w:t>
      </w:r>
      <w:r w:rsidRPr="59D368C5">
        <w:rPr>
          <w:rFonts w:eastAsiaTheme="minorEastAsia"/>
          <w:color w:val="000000" w:themeColor="text1"/>
          <w:sz w:val="24"/>
          <w:szCs w:val="24"/>
        </w:rPr>
        <w:t xml:space="preserve">will provide the student with a firm </w:t>
      </w:r>
      <w:bookmarkStart w:name="_Int_YX8E0hWj" w:id="3"/>
      <w:r w:rsidRPr="59D368C5">
        <w:rPr>
          <w:rFonts w:eastAsiaTheme="minorEastAsia"/>
          <w:color w:val="000000" w:themeColor="text1"/>
          <w:sz w:val="24"/>
          <w:szCs w:val="24"/>
        </w:rPr>
        <w:t>basic foundation</w:t>
      </w:r>
      <w:bookmarkEnd w:id="3"/>
      <w:r w:rsidRPr="59D368C5">
        <w:rPr>
          <w:rFonts w:eastAsiaTheme="minorEastAsia"/>
          <w:color w:val="000000" w:themeColor="text1"/>
          <w:sz w:val="24"/>
          <w:szCs w:val="24"/>
        </w:rPr>
        <w:t xml:space="preserve"> in the principles of effective communication, communication processes, and communication styles. This degree will allow the student to transfer to a CSU as a Communication Studies major or in a related major. The Communication Studies Major is an interdisciplinary degree </w:t>
      </w:r>
      <w:r w:rsidRPr="59D368C5" w:rsidR="25A081F1">
        <w:rPr>
          <w:rFonts w:eastAsiaTheme="minorEastAsia"/>
          <w:color w:val="000000" w:themeColor="text1"/>
          <w:sz w:val="24"/>
          <w:szCs w:val="24"/>
        </w:rPr>
        <w:t>that</w:t>
      </w:r>
      <w:r w:rsidRPr="59D368C5">
        <w:rPr>
          <w:rFonts w:eastAsiaTheme="minorEastAsia"/>
          <w:color w:val="000000" w:themeColor="text1"/>
          <w:sz w:val="24"/>
          <w:szCs w:val="24"/>
        </w:rPr>
        <w:t xml:space="preserve"> will allow students to study the communicative act from the perspective of such diverse disciplines as Speech, Anthropology, Sociology, Psychology, Media, and Linguistics. Communication Studies may lead to the following career opportunities in</w:t>
      </w:r>
      <w:r w:rsidRPr="59D368C5" w:rsidR="14516EF4">
        <w:rPr>
          <w:rFonts w:eastAsiaTheme="minorEastAsia"/>
          <w:color w:val="000000" w:themeColor="text1"/>
          <w:sz w:val="24"/>
          <w:szCs w:val="24"/>
        </w:rPr>
        <w:t>:</w:t>
      </w:r>
      <w:r w:rsidRPr="59D368C5">
        <w:rPr>
          <w:rFonts w:eastAsiaTheme="minorEastAsia"/>
          <w:color w:val="000000" w:themeColor="text1"/>
          <w:sz w:val="24"/>
          <w:szCs w:val="24"/>
        </w:rPr>
        <w:t xml:space="preserve"> Business, Education, Journalism, Government, Publishing, Advertising/Marketing, Broadcasting/Cable/Corporate Video, Human Relations</w:t>
      </w:r>
      <w:r w:rsidRPr="59D368C5" w:rsidR="7C38F63F">
        <w:rPr>
          <w:rFonts w:eastAsiaTheme="minorEastAsia"/>
          <w:color w:val="000000" w:themeColor="text1"/>
          <w:sz w:val="24"/>
          <w:szCs w:val="24"/>
        </w:rPr>
        <w:t>,</w:t>
      </w:r>
      <w:r w:rsidRPr="59D368C5" w:rsidR="59D368C5">
        <w:rPr>
          <w:rFonts w:eastAsiaTheme="minorEastAsia"/>
          <w:color w:val="000000" w:themeColor="text1"/>
          <w:sz w:val="24"/>
          <w:szCs w:val="24"/>
        </w:rPr>
        <w:t xml:space="preserve"> </w:t>
      </w:r>
      <w:r w:rsidRPr="59D368C5">
        <w:rPr>
          <w:rFonts w:eastAsiaTheme="minorEastAsia"/>
          <w:color w:val="000000" w:themeColor="text1"/>
          <w:sz w:val="24"/>
          <w:szCs w:val="24"/>
        </w:rPr>
        <w:t>and Production.</w:t>
      </w:r>
    </w:p>
    <w:p w:rsidR="0071023F" w:rsidP="4046C1BA" w:rsidRDefault="0071023F" w14:paraId="1F4687D5" w14:textId="75CEBEB2">
      <w:pPr>
        <w:rPr>
          <w:rFonts w:eastAsia="" w:eastAsiaTheme="minorEastAsia"/>
          <w:sz w:val="24"/>
          <w:szCs w:val="24"/>
        </w:rPr>
      </w:pPr>
      <w:r w:rsidRPr="4046C1BA" w:rsidR="55D8FEA1">
        <w:rPr>
          <w:rFonts w:eastAsia="" w:eastAsiaTheme="minorEastAsia"/>
          <w:color w:val="000000" w:themeColor="text1" w:themeTint="FF" w:themeShade="FF"/>
          <w:sz w:val="24"/>
          <w:szCs w:val="24"/>
        </w:rPr>
        <w:t xml:space="preserve">Students who complete this degree will be guaranteed admission with junior status to the California State University system, although not a particular campus or major.  Students can use the </w:t>
      </w:r>
      <w:hyperlink r:id="Raff5dba562bc466f">
        <w:r w:rsidRPr="4046C1BA" w:rsidR="55D8FEA1">
          <w:rPr>
            <w:rStyle w:val="Hyperlink"/>
            <w:rFonts w:eastAsia="" w:eastAsiaTheme="minorEastAsia"/>
            <w:sz w:val="24"/>
            <w:szCs w:val="24"/>
          </w:rPr>
          <w:t>ADT Search</w:t>
        </w:r>
      </w:hyperlink>
      <w:r w:rsidRPr="4046C1BA" w:rsidR="55D8FEA1">
        <w:rPr>
          <w:rFonts w:eastAsia="" w:eastAsiaTheme="minorEastAsia"/>
          <w:color w:val="000000" w:themeColor="text1" w:themeTint="FF" w:themeShade="FF"/>
          <w:sz w:val="24"/>
          <w:szCs w:val="24"/>
        </w:rPr>
        <w:t xml:space="preserve"> by CSU Campus to view which CSU campuses accept ADT degrees in their major</w:t>
      </w:r>
      <w:r w:rsidRPr="4046C1BA" w:rsidR="7CD75C6E">
        <w:rPr>
          <w:rFonts w:eastAsia="" w:eastAsiaTheme="minorEastAsia"/>
          <w:color w:val="000000" w:themeColor="text1" w:themeTint="FF" w:themeShade="FF"/>
          <w:sz w:val="24"/>
          <w:szCs w:val="24"/>
        </w:rPr>
        <w:t>.</w:t>
      </w:r>
    </w:p>
    <w:p w:rsidR="0071023F" w:rsidP="59D368C5" w:rsidRDefault="55D8FEA1" w14:paraId="78BB58C7" w14:textId="754B03A1">
      <w:pPr>
        <w:rPr>
          <w:rFonts w:eastAsiaTheme="minorEastAsia"/>
          <w:color w:val="000000" w:themeColor="text1"/>
          <w:sz w:val="24"/>
          <w:szCs w:val="24"/>
        </w:rPr>
      </w:pPr>
      <w:r w:rsidRPr="59D368C5">
        <w:rPr>
          <w:rFonts w:eastAsiaTheme="minorEastAsia"/>
          <w:color w:val="000000" w:themeColor="text1"/>
          <w:sz w:val="24"/>
          <w:szCs w:val="24"/>
        </w:rPr>
        <w:t>Students receiving this transfer degree must meet the following requirements:</w:t>
      </w:r>
    </w:p>
    <w:p w:rsidR="0071023F" w:rsidP="59D368C5" w:rsidRDefault="55D8FEA1" w14:paraId="082648F2" w14:textId="3C69CA77">
      <w:pPr>
        <w:pStyle w:val="ListParagraph"/>
        <w:numPr>
          <w:ilvl w:val="0"/>
          <w:numId w:val="1"/>
        </w:numPr>
        <w:spacing w:line="360" w:lineRule="auto"/>
        <w:rPr>
          <w:rFonts w:eastAsiaTheme="minorEastAsia"/>
          <w:color w:val="000000" w:themeColor="text1"/>
          <w:sz w:val="24"/>
          <w:szCs w:val="24"/>
        </w:rPr>
      </w:pPr>
      <w:r w:rsidRPr="799ACE46" w:rsidR="55D8FEA1">
        <w:rPr>
          <w:rFonts w:eastAsia="" w:eastAsiaTheme="minorEastAsia"/>
          <w:color w:val="000000" w:themeColor="text1" w:themeTint="FF" w:themeShade="FF"/>
          <w:sz w:val="24"/>
          <w:szCs w:val="24"/>
        </w:rPr>
        <w:t xml:space="preserve">Completion of 60 semester units or 90 quarter units that are eligible for transfer to the California State University, including completion of: </w:t>
      </w:r>
    </w:p>
    <w:p w:rsidR="0071023F" w:rsidP="799ACE46" w:rsidRDefault="55D8FEA1" w14:paraId="5DE92207" w14:textId="58C69520">
      <w:pPr>
        <w:pStyle w:val="ListParagraph"/>
        <w:numPr>
          <w:ilvl w:val="1"/>
          <w:numId w:val="1"/>
        </w:numPr>
        <w:spacing w:line="360" w:lineRule="auto"/>
        <w:rPr>
          <w:rFonts w:ascii="Calibri" w:hAnsi="Calibri" w:eastAsia="Calibri" w:cs="Calibri"/>
          <w:b w:val="0"/>
          <w:bCs w:val="0"/>
          <w:i w:val="0"/>
          <w:iCs w:val="0"/>
          <w:caps w:val="0"/>
          <w:smallCaps w:val="0"/>
          <w:noProof w:val="0"/>
          <w:color w:val="000000" w:themeColor="text1"/>
          <w:sz w:val="24"/>
          <w:szCs w:val="24"/>
          <w:lang w:val="en-US"/>
        </w:rPr>
      </w:pPr>
      <w:r w:rsidRPr="799ACE46" w:rsidR="6653DF2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Intersegmental General Education Transfer Curriculum (IGETC) </w:t>
      </w:r>
      <w:r w:rsidRPr="799ACE46" w:rsidR="6653DF2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OR </w:t>
      </w:r>
      <w:r w:rsidRPr="799ACE46" w:rsidR="6653DF2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California State University General Education (CSUGE) </w:t>
      </w:r>
    </w:p>
    <w:p w:rsidR="0071023F" w:rsidP="59D368C5" w:rsidRDefault="55D8FEA1" w14:paraId="0FD29A46" w14:textId="51E320E2">
      <w:pPr>
        <w:pStyle w:val="ListParagraph"/>
        <w:numPr>
          <w:ilvl w:val="1"/>
          <w:numId w:val="1"/>
        </w:numPr>
        <w:spacing w:line="360" w:lineRule="auto"/>
        <w:rPr>
          <w:rFonts w:ascii="Calibri" w:hAnsi="Calibri" w:eastAsia="Calibri" w:cs="Calibri"/>
          <w:color w:val="000000" w:themeColor="text1"/>
          <w:sz w:val="24"/>
          <w:szCs w:val="24"/>
        </w:rPr>
      </w:pPr>
      <w:r w:rsidRPr="799ACE46" w:rsidR="5F1781DD">
        <w:rPr>
          <w:rFonts w:ascii="Calibri" w:hAnsi="Calibri" w:eastAsia="Calibri" w:cs="Calibri"/>
          <w:color w:val="000000" w:themeColor="text1" w:themeTint="FF" w:themeShade="FF"/>
          <w:sz w:val="24"/>
          <w:szCs w:val="24"/>
        </w:rPr>
        <w:t xml:space="preserve">The major coursework listed below with a grade of “C” or better in each course </w:t>
      </w:r>
      <w:r w:rsidRPr="799ACE46" w:rsidR="5F1781DD">
        <w:rPr>
          <w:rFonts w:ascii="Calibri" w:hAnsi="Calibri" w:eastAsia="Calibri" w:cs="Calibri"/>
          <w:color w:val="000000" w:themeColor="text1" w:themeTint="FF" w:themeShade="FF"/>
          <w:sz w:val="24"/>
          <w:szCs w:val="24"/>
        </w:rPr>
        <w:t>required</w:t>
      </w:r>
      <w:r w:rsidRPr="799ACE46" w:rsidR="5F1781DD">
        <w:rPr>
          <w:rFonts w:ascii="Calibri" w:hAnsi="Calibri" w:eastAsia="Calibri" w:cs="Calibri"/>
          <w:color w:val="000000" w:themeColor="text1" w:themeTint="FF" w:themeShade="FF"/>
          <w:sz w:val="24"/>
          <w:szCs w:val="24"/>
        </w:rPr>
        <w:t xml:space="preserve"> for the major or a grade of “P” if the major course is taken on a “P/NP” basis.</w:t>
      </w:r>
    </w:p>
    <w:p w:rsidRPr="008517D0" w:rsidR="0071023F" w:rsidP="67EFD602" w:rsidRDefault="55D8FEA1" w14:paraId="1E4E88E8" w14:textId="56B98E11">
      <w:pPr>
        <w:pStyle w:val="ListParagraph"/>
        <w:numPr>
          <w:ilvl w:val="0"/>
          <w:numId w:val="1"/>
        </w:numPr>
        <w:spacing w:line="360" w:lineRule="auto"/>
        <w:rPr>
          <w:rFonts w:eastAsiaTheme="minorEastAsia"/>
          <w:color w:val="000000" w:themeColor="text1"/>
          <w:sz w:val="24"/>
          <w:szCs w:val="24"/>
        </w:rPr>
      </w:pPr>
      <w:r w:rsidRPr="67EFD602">
        <w:rPr>
          <w:rFonts w:eastAsiaTheme="minorEastAsia"/>
          <w:color w:val="000000" w:themeColor="text1"/>
          <w:sz w:val="24"/>
          <w:szCs w:val="24"/>
        </w:rPr>
        <w:t>Obtain of a minimum cumulative grade point average of 2.0</w:t>
      </w:r>
    </w:p>
    <w:p w:rsidRPr="0060248C" w:rsidR="0071023F" w:rsidP="59D368C5" w:rsidRDefault="415EA5E2" w14:paraId="5E3950EE" w14:textId="296C846E">
      <w:pPr>
        <w:pStyle w:val="Heading2"/>
        <w:rPr>
          <w:rFonts w:ascii="Calibri" w:hAnsi="Calibri" w:eastAsia="Calibri" w:cs="Calibri"/>
          <w:b/>
          <w:bCs/>
          <w:color w:val="auto"/>
          <w:sz w:val="20"/>
          <w:szCs w:val="20"/>
        </w:rPr>
      </w:pPr>
      <w:r w:rsidRPr="0060248C">
        <w:rPr>
          <w:b/>
          <w:bCs/>
          <w:color w:val="auto"/>
        </w:rPr>
        <w:t>Required Core Courses: (</w:t>
      </w:r>
      <w:r w:rsidR="004A07E9">
        <w:rPr>
          <w:b/>
          <w:bCs/>
          <w:color w:val="auto"/>
        </w:rPr>
        <w:t>6</w:t>
      </w:r>
      <w:r w:rsidRPr="0060248C">
        <w:rPr>
          <w:b/>
          <w:bCs/>
          <w:color w:val="auto"/>
        </w:rPr>
        <w:t xml:space="preserve"> units)</w:t>
      </w:r>
    </w:p>
    <w:tbl>
      <w:tblPr>
        <w:tblStyle w:val="GridTable1Light"/>
        <w:tblW w:w="0" w:type="auto"/>
        <w:tblInd w:w="105" w:type="dxa"/>
        <w:tblLayout w:type="fixed"/>
        <w:tblLook w:val="06A0" w:firstRow="1" w:lastRow="0" w:firstColumn="1" w:lastColumn="0" w:noHBand="1" w:noVBand="1"/>
        <w:tblCaption w:val="Communication Studies Core Courses"/>
        <w:tblDescription w:val="One course required for core."/>
      </w:tblPr>
      <w:tblGrid>
        <w:gridCol w:w="2310"/>
        <w:gridCol w:w="5685"/>
        <w:gridCol w:w="945"/>
        <w:gridCol w:w="1170"/>
        <w:gridCol w:w="855"/>
        <w:gridCol w:w="975"/>
      </w:tblGrid>
      <w:tr w:rsidR="59D368C5" w:rsidTr="4046C1BA" w14:paraId="4711045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415EA5E2" w:rsidP="59D368C5" w:rsidRDefault="415EA5E2" w14:paraId="10F78A24" w14:textId="78CE2146">
            <w:pPr>
              <w:jc w:val="center"/>
              <w:rPr>
                <w:sz w:val="24"/>
                <w:szCs w:val="24"/>
              </w:rPr>
            </w:pPr>
            <w:r w:rsidRPr="59D368C5">
              <w:rPr>
                <w:sz w:val="24"/>
                <w:szCs w:val="24"/>
              </w:rPr>
              <w:t>Course</w:t>
            </w:r>
          </w:p>
        </w:tc>
        <w:tc>
          <w:tcPr>
            <w:cnfStyle w:val="000000000000" w:firstRow="0" w:lastRow="0" w:firstColumn="0" w:lastColumn="0" w:oddVBand="0" w:evenVBand="0" w:oddHBand="0" w:evenHBand="0" w:firstRowFirstColumn="0" w:firstRowLastColumn="0" w:lastRowFirstColumn="0" w:lastRowLastColumn="0"/>
            <w:tcW w:w="5685" w:type="dxa"/>
            <w:tcMar/>
          </w:tcPr>
          <w:p w:rsidR="415EA5E2" w:rsidP="59D368C5" w:rsidRDefault="415EA5E2" w14:paraId="2923A98A" w14:textId="4498F9B5">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Title</w:t>
            </w:r>
          </w:p>
        </w:tc>
        <w:tc>
          <w:tcPr>
            <w:cnfStyle w:val="000000000000" w:firstRow="0" w:lastRow="0" w:firstColumn="0" w:lastColumn="0" w:oddVBand="0" w:evenVBand="0" w:oddHBand="0" w:evenHBand="0" w:firstRowFirstColumn="0" w:firstRowLastColumn="0" w:lastRowFirstColumn="0" w:lastRowLastColumn="0"/>
            <w:tcW w:w="945" w:type="dxa"/>
            <w:tcMar/>
          </w:tcPr>
          <w:p w:rsidR="59D368C5" w:rsidP="59D368C5" w:rsidRDefault="59D368C5" w14:paraId="62B5BF8D" w14:textId="2B574994">
            <w:pPr>
              <w:keepNex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Units</w:t>
            </w:r>
          </w:p>
        </w:tc>
        <w:tc>
          <w:tcPr>
            <w:cnfStyle w:val="000000000000" w:firstRow="0" w:lastRow="0" w:firstColumn="0" w:lastColumn="0" w:oddVBand="0" w:evenVBand="0" w:oddHBand="0" w:evenHBand="0" w:firstRowFirstColumn="0" w:firstRowLastColumn="0" w:lastRowFirstColumn="0" w:lastRowLastColumn="0"/>
            <w:tcW w:w="1170" w:type="dxa"/>
            <w:tcMar/>
          </w:tcPr>
          <w:p w:rsidR="59D368C5" w:rsidP="59D368C5" w:rsidRDefault="59D368C5" w14:paraId="5C93314F" w14:textId="743698AF">
            <w:pPr>
              <w:keepNex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Grade</w:t>
            </w:r>
          </w:p>
        </w:tc>
        <w:tc>
          <w:tcPr>
            <w:cnfStyle w:val="000000000000" w:firstRow="0" w:lastRow="0" w:firstColumn="0" w:lastColumn="0" w:oddVBand="0" w:evenVBand="0" w:oddHBand="0" w:evenHBand="0" w:firstRowFirstColumn="0" w:firstRowLastColumn="0" w:lastRowFirstColumn="0" w:lastRowLastColumn="0"/>
            <w:tcW w:w="855" w:type="dxa"/>
            <w:tcMar/>
          </w:tcPr>
          <w:p w:rsidR="59D368C5" w:rsidP="59D368C5" w:rsidRDefault="59D368C5" w14:paraId="0315E3F3" w14:textId="0C94C74D">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IP</w:t>
            </w:r>
          </w:p>
        </w:tc>
        <w:tc>
          <w:tcPr>
            <w:cnfStyle w:val="000000000000" w:firstRow="0" w:lastRow="0" w:firstColumn="0" w:lastColumn="0" w:oddVBand="0" w:evenVBand="0" w:oddHBand="0" w:evenHBand="0" w:firstRowFirstColumn="0" w:firstRowLastColumn="0" w:lastRowFirstColumn="0" w:lastRowLastColumn="0"/>
            <w:tcW w:w="975" w:type="dxa"/>
            <w:tcMar/>
          </w:tcPr>
          <w:p w:rsidR="59D368C5" w:rsidP="59D368C5" w:rsidRDefault="59D368C5" w14:paraId="5091B84B" w14:textId="196ECDC6">
            <w:pPr>
              <w:keepNext/>
              <w:tabs>
                <w:tab w:val="right" w:pos="297"/>
              </w:tabs>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Need</w:t>
            </w:r>
          </w:p>
        </w:tc>
      </w:tr>
      <w:tr w:rsidR="59D368C5" w:rsidTr="4046C1BA" w14:paraId="6F38C517"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59D368C5" w:rsidP="59D368C5" w:rsidRDefault="59D368C5" w14:paraId="507601F0" w14:textId="3295709D">
            <w:pPr>
              <w:rPr>
                <w:rFonts w:eastAsiaTheme="minorEastAsia"/>
                <w:b w:val="0"/>
                <w:bCs w:val="0"/>
                <w:color w:val="000000" w:themeColor="text1"/>
                <w:sz w:val="24"/>
                <w:szCs w:val="24"/>
              </w:rPr>
            </w:pPr>
            <w:r w:rsidRPr="59D368C5">
              <w:rPr>
                <w:rFonts w:eastAsiaTheme="minorEastAsia"/>
                <w:b w:val="0"/>
                <w:bCs w:val="0"/>
                <w:color w:val="000000" w:themeColor="text1"/>
                <w:sz w:val="24"/>
                <w:szCs w:val="24"/>
              </w:rPr>
              <w:t>COMM 101</w:t>
            </w:r>
          </w:p>
        </w:tc>
        <w:tc>
          <w:tcPr>
            <w:cnfStyle w:val="000000000000" w:firstRow="0" w:lastRow="0" w:firstColumn="0" w:lastColumn="0" w:oddVBand="0" w:evenVBand="0" w:oddHBand="0" w:evenHBand="0" w:firstRowFirstColumn="0" w:firstRowLastColumn="0" w:lastRowFirstColumn="0" w:lastRowLastColumn="0"/>
            <w:tcW w:w="5685" w:type="dxa"/>
            <w:tcMar/>
          </w:tcPr>
          <w:p w:rsidR="59D368C5" w:rsidP="4046C1BA" w:rsidRDefault="59D368C5" w14:paraId="228DDA43" w14:textId="368BBC6A">
            <w:pPr>
              <w:pStyle w:val="Normal"/>
              <w:suppressLineNumbers w:val="0"/>
              <w:bidi w:val="0"/>
              <w:spacing w:before="0" w:beforeAutospacing="off" w:after="0" w:afterAutospacing="off" w:line="259" w:lineRule="auto"/>
              <w:ind w:left="0" w:right="0"/>
              <w:jc w:val="left"/>
            </w:pPr>
            <w:r w:rsidRPr="4046C1BA" w:rsidR="43BA9AFE">
              <w:rPr>
                <w:rFonts w:eastAsia="" w:eastAsiaTheme="minorEastAsia"/>
                <w:color w:val="000000" w:themeColor="text1" w:themeTint="FF" w:themeShade="FF"/>
                <w:sz w:val="24"/>
                <w:szCs w:val="24"/>
              </w:rPr>
              <w:t>Public Speaking</w:t>
            </w:r>
          </w:p>
        </w:tc>
        <w:tc>
          <w:tcPr>
            <w:cnfStyle w:val="000000000000" w:firstRow="0" w:lastRow="0" w:firstColumn="0" w:lastColumn="0" w:oddVBand="0" w:evenVBand="0" w:oddHBand="0" w:evenHBand="0" w:firstRowFirstColumn="0" w:firstRowLastColumn="0" w:lastRowFirstColumn="0" w:lastRowLastColumn="0"/>
            <w:tcW w:w="945" w:type="dxa"/>
            <w:tcMar/>
          </w:tcPr>
          <w:p w:rsidR="59D368C5" w:rsidP="59D368C5" w:rsidRDefault="59D368C5" w14:paraId="691A0923" w14:textId="4420D97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59D368C5">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59D368C5" w:rsidP="59D368C5" w:rsidRDefault="59D368C5" w14:paraId="4EE872BD" w14:textId="2DC10ECB">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855" w:type="dxa"/>
            <w:tcMar/>
          </w:tcPr>
          <w:p w:rsidR="59D368C5" w:rsidP="59D368C5" w:rsidRDefault="59D368C5" w14:paraId="46206BB5" w14:textId="5218E29D">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5" w:type="dxa"/>
            <w:tcMar/>
          </w:tcPr>
          <w:p w:rsidR="59D368C5" w:rsidP="59D368C5" w:rsidRDefault="59D368C5" w14:paraId="140F9967" w14:textId="4AAE93C5">
            <w:pPr>
              <w:tabs>
                <w:tab w:val="right" w:pos="297"/>
              </w:tabs>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00404F6F" w:rsidTr="4046C1BA" w14:paraId="7E5F3A1A"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Pr="00404F6F" w:rsidR="00404F6F" w:rsidP="59D368C5" w:rsidRDefault="00404F6F" w14:paraId="405A7D04" w14:textId="7370B6DE">
            <w:pPr>
              <w:rPr>
                <w:rFonts w:eastAsiaTheme="minorEastAsia"/>
                <w:b w:val="0"/>
                <w:color w:val="000000" w:themeColor="text1"/>
                <w:sz w:val="24"/>
                <w:szCs w:val="24"/>
              </w:rPr>
            </w:pPr>
            <w:r>
              <w:rPr>
                <w:rFonts w:eastAsiaTheme="minorEastAsia"/>
                <w:b w:val="0"/>
                <w:color w:val="000000" w:themeColor="text1"/>
                <w:sz w:val="24"/>
                <w:szCs w:val="24"/>
              </w:rPr>
              <w:t>COMM 121</w:t>
            </w:r>
          </w:p>
        </w:tc>
        <w:tc>
          <w:tcPr>
            <w:cnfStyle w:val="000000000000" w:firstRow="0" w:lastRow="0" w:firstColumn="0" w:lastColumn="0" w:oddVBand="0" w:evenVBand="0" w:oddHBand="0" w:evenHBand="0" w:firstRowFirstColumn="0" w:firstRowLastColumn="0" w:lastRowFirstColumn="0" w:lastRowLastColumn="0"/>
            <w:tcW w:w="5685" w:type="dxa"/>
            <w:tcMar/>
          </w:tcPr>
          <w:p w:rsidRPr="59D368C5" w:rsidR="00404F6F" w:rsidP="59D368C5" w:rsidRDefault="00404F6F" w14:paraId="6A7AE7D4" w14:textId="370232F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Pr>
                <w:rFonts w:eastAsiaTheme="minorEastAsia"/>
                <w:color w:val="000000" w:themeColor="text1"/>
                <w:sz w:val="24"/>
                <w:szCs w:val="24"/>
              </w:rPr>
              <w:t>Interpersonal Communication</w:t>
            </w:r>
          </w:p>
        </w:tc>
        <w:tc>
          <w:tcPr>
            <w:cnfStyle w:val="000000000000" w:firstRow="0" w:lastRow="0" w:firstColumn="0" w:lastColumn="0" w:oddVBand="0" w:evenVBand="0" w:oddHBand="0" w:evenHBand="0" w:firstRowFirstColumn="0" w:firstRowLastColumn="0" w:lastRowFirstColumn="0" w:lastRowLastColumn="0"/>
            <w:tcW w:w="945" w:type="dxa"/>
            <w:tcMar/>
          </w:tcPr>
          <w:p w:rsidRPr="59D368C5" w:rsidR="00404F6F" w:rsidP="59D368C5" w:rsidRDefault="00404F6F" w14:paraId="081CA701" w14:textId="6A69EA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404F6F" w:rsidP="59D368C5" w:rsidRDefault="00404F6F" w14:paraId="4E3F95EC" w14:textId="77777777">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855" w:type="dxa"/>
            <w:tcMar/>
          </w:tcPr>
          <w:p w:rsidR="00404F6F" w:rsidP="59D368C5" w:rsidRDefault="00404F6F" w14:paraId="7867604A" w14:textId="77777777">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5" w:type="dxa"/>
            <w:tcMar/>
          </w:tcPr>
          <w:p w:rsidR="00404F6F" w:rsidP="59D368C5" w:rsidRDefault="00404F6F" w14:paraId="30E5E3C1"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bl>
    <w:p w:rsidR="0071023F" w:rsidP="59D368C5" w:rsidRDefault="0071023F" w14:paraId="2C078E63" w14:textId="4D56E153">
      <w:pPr>
        <w:rPr>
          <w:rFonts w:eastAsiaTheme="minorEastAsia"/>
          <w:sz w:val="24"/>
          <w:szCs w:val="24"/>
        </w:rPr>
      </w:pPr>
    </w:p>
    <w:p w:rsidRPr="005F2FE9" w:rsidR="005F2FE9" w:rsidP="59D368C5" w:rsidRDefault="2A43DD84" w14:paraId="442E96E8" w14:textId="77777777">
      <w:pPr>
        <w:pStyle w:val="Heading2"/>
        <w:rPr>
          <w:b/>
          <w:bCs/>
          <w:color w:val="auto"/>
        </w:rPr>
      </w:pPr>
      <w:r w:rsidRPr="005F2FE9">
        <w:rPr>
          <w:b/>
          <w:bCs/>
          <w:color w:val="auto"/>
        </w:rPr>
        <w:lastRenderedPageBreak/>
        <w:t>List A</w:t>
      </w:r>
    </w:p>
    <w:p w:rsidR="2A43DD84" w:rsidP="008517D0" w:rsidRDefault="00404F6F" w14:paraId="0D2CACC9" w14:textId="03614305">
      <w:pPr>
        <w:rPr>
          <w:rFonts w:ascii="Calibri" w:hAnsi="Calibri" w:eastAsia="Calibri" w:cs="Calibri"/>
          <w:sz w:val="20"/>
          <w:szCs w:val="20"/>
        </w:rPr>
      </w:pPr>
      <w:r>
        <w:t>Select THREE</w:t>
      </w:r>
      <w:r w:rsidRPr="59D368C5" w:rsidR="2A43DD84">
        <w:t xml:space="preserve"> courses (</w:t>
      </w:r>
      <w:r>
        <w:t>9</w:t>
      </w:r>
      <w:r w:rsidRPr="59D368C5" w:rsidR="2A43DD84">
        <w:t xml:space="preserve"> units)</w:t>
      </w:r>
      <w:r w:rsidR="00910365">
        <w:t>:</w:t>
      </w:r>
    </w:p>
    <w:tbl>
      <w:tblPr>
        <w:tblStyle w:val="GridTable1Light"/>
        <w:tblW w:w="0" w:type="auto"/>
        <w:tblInd w:w="105" w:type="dxa"/>
        <w:tblLayout w:type="fixed"/>
        <w:tblLook w:val="06A0" w:firstRow="1" w:lastRow="0" w:firstColumn="1" w:lastColumn="0" w:noHBand="1" w:noVBand="1"/>
        <w:tblCaption w:val="Communication Studies List A"/>
        <w:tblDescription w:val="Two courses are available to meet list A requirements."/>
      </w:tblPr>
      <w:tblGrid>
        <w:gridCol w:w="2295"/>
        <w:gridCol w:w="5715"/>
        <w:gridCol w:w="960"/>
        <w:gridCol w:w="1155"/>
        <w:gridCol w:w="825"/>
        <w:gridCol w:w="1005"/>
      </w:tblGrid>
      <w:tr w:rsidR="59D368C5" w:rsidTr="5E12C491" w14:paraId="0E9EFB8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2A43DD84" w:rsidP="59D368C5" w:rsidRDefault="2A43DD84" w14:paraId="643E15D4" w14:textId="703D8E15">
            <w:pPr>
              <w:jc w:val="center"/>
              <w:rPr>
                <w:sz w:val="24"/>
                <w:szCs w:val="24"/>
              </w:rPr>
            </w:pPr>
            <w:r w:rsidRPr="59D368C5">
              <w:rPr>
                <w:sz w:val="24"/>
                <w:szCs w:val="24"/>
              </w:rPr>
              <w:t xml:space="preserve"> Course</w:t>
            </w:r>
          </w:p>
        </w:tc>
        <w:tc>
          <w:tcPr>
            <w:cnfStyle w:val="000000000000" w:firstRow="0" w:lastRow="0" w:firstColumn="0" w:lastColumn="0" w:oddVBand="0" w:evenVBand="0" w:oddHBand="0" w:evenHBand="0" w:firstRowFirstColumn="0" w:firstRowLastColumn="0" w:lastRowFirstColumn="0" w:lastRowLastColumn="0"/>
            <w:tcW w:w="5715" w:type="dxa"/>
            <w:tcMar/>
          </w:tcPr>
          <w:p w:rsidR="2A43DD84" w:rsidP="59D368C5" w:rsidRDefault="2A43DD84" w14:paraId="32C13F17" w14:textId="2824CB3D">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Title</w:t>
            </w:r>
          </w:p>
        </w:tc>
        <w:tc>
          <w:tcPr>
            <w:cnfStyle w:val="000000000000" w:firstRow="0" w:lastRow="0" w:firstColumn="0" w:lastColumn="0" w:oddVBand="0" w:evenVBand="0" w:oddHBand="0" w:evenHBand="0" w:firstRowFirstColumn="0" w:firstRowLastColumn="0" w:lastRowFirstColumn="0" w:lastRowLastColumn="0"/>
            <w:tcW w:w="960" w:type="dxa"/>
            <w:tcMar/>
          </w:tcPr>
          <w:p w:rsidR="59D368C5" w:rsidP="59D368C5" w:rsidRDefault="59D368C5" w14:paraId="4409797C" w14:textId="77EDCE8F">
            <w:pPr>
              <w:keepNex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Units</w:t>
            </w:r>
          </w:p>
        </w:tc>
        <w:tc>
          <w:tcPr>
            <w:cnfStyle w:val="000000000000" w:firstRow="0" w:lastRow="0" w:firstColumn="0" w:lastColumn="0" w:oddVBand="0" w:evenVBand="0" w:oddHBand="0" w:evenHBand="0" w:firstRowFirstColumn="0" w:firstRowLastColumn="0" w:lastRowFirstColumn="0" w:lastRowLastColumn="0"/>
            <w:tcW w:w="1155" w:type="dxa"/>
            <w:tcMar/>
          </w:tcPr>
          <w:p w:rsidR="59D368C5" w:rsidP="59D368C5" w:rsidRDefault="59D368C5" w14:paraId="73B50C95" w14:textId="328DAE57">
            <w:pPr>
              <w:keepNex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Grade</w:t>
            </w:r>
          </w:p>
        </w:tc>
        <w:tc>
          <w:tcPr>
            <w:cnfStyle w:val="000000000000" w:firstRow="0" w:lastRow="0" w:firstColumn="0" w:lastColumn="0" w:oddVBand="0" w:evenVBand="0" w:oddHBand="0" w:evenHBand="0" w:firstRowFirstColumn="0" w:firstRowLastColumn="0" w:lastRowFirstColumn="0" w:lastRowLastColumn="0"/>
            <w:tcW w:w="825" w:type="dxa"/>
            <w:tcMar/>
          </w:tcPr>
          <w:p w:rsidR="59D368C5" w:rsidP="59D368C5" w:rsidRDefault="59D368C5" w14:paraId="0D8D1B94" w14:textId="41427EB0">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IP</w:t>
            </w:r>
          </w:p>
        </w:tc>
        <w:tc>
          <w:tcPr>
            <w:cnfStyle w:val="000000000000" w:firstRow="0" w:lastRow="0" w:firstColumn="0" w:lastColumn="0" w:oddVBand="0" w:evenVBand="0" w:oddHBand="0" w:evenHBand="0" w:firstRowFirstColumn="0" w:firstRowLastColumn="0" w:lastRowFirstColumn="0" w:lastRowLastColumn="0"/>
            <w:tcW w:w="1005" w:type="dxa"/>
            <w:tcMar/>
          </w:tcPr>
          <w:p w:rsidR="59D368C5" w:rsidP="59D368C5" w:rsidRDefault="59D368C5" w14:paraId="32F68AF1" w14:textId="639C3F21">
            <w:pPr>
              <w:keepNext/>
              <w:tabs>
                <w:tab w:val="right" w:pos="297"/>
              </w:tabs>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59D368C5">
              <w:rPr>
                <w:sz w:val="24"/>
                <w:szCs w:val="24"/>
              </w:rPr>
              <w:t>Need</w:t>
            </w:r>
          </w:p>
        </w:tc>
      </w:tr>
      <w:tr w:rsidR="4046C1BA" w:rsidTr="5E12C491" w14:paraId="60D645E5">
        <w:trPr>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2247A945" w:rsidP="4046C1BA" w:rsidRDefault="2247A945" w14:paraId="7D903FE1" w14:textId="5E33D1A6">
            <w:pPr>
              <w:pStyle w:val="Normal"/>
              <w:rPr>
                <w:rFonts w:ascii="Calibri" w:hAnsi="Calibri" w:eastAsia="Calibri" w:cs="Calibri"/>
                <w:b w:val="0"/>
                <w:bCs w:val="0"/>
                <w:color w:val="000000" w:themeColor="text1" w:themeTint="FF" w:themeShade="FF"/>
                <w:sz w:val="24"/>
                <w:szCs w:val="24"/>
              </w:rPr>
            </w:pPr>
            <w:r w:rsidRPr="4046C1BA" w:rsidR="2247A945">
              <w:rPr>
                <w:rFonts w:ascii="Calibri" w:hAnsi="Calibri" w:eastAsia="Calibri" w:cs="Calibri"/>
                <w:b w:val="0"/>
                <w:bCs w:val="0"/>
                <w:color w:val="000000" w:themeColor="text1" w:themeTint="FF" w:themeShade="FF"/>
                <w:sz w:val="24"/>
                <w:szCs w:val="24"/>
              </w:rPr>
              <w:t>COMM 100</w:t>
            </w:r>
          </w:p>
        </w:tc>
        <w:tc>
          <w:tcPr>
            <w:cnfStyle w:val="000000000000" w:firstRow="0" w:lastRow="0" w:firstColumn="0" w:lastColumn="0" w:oddVBand="0" w:evenVBand="0" w:oddHBand="0" w:evenHBand="0" w:firstRowFirstColumn="0" w:firstRowLastColumn="0" w:lastRowFirstColumn="0" w:lastRowLastColumn="0"/>
            <w:tcW w:w="5715" w:type="dxa"/>
            <w:tcMar/>
          </w:tcPr>
          <w:p w:rsidR="2247A945" w:rsidP="4046C1BA" w:rsidRDefault="2247A945" w14:paraId="01034D27" w14:textId="41231B1E">
            <w:pPr>
              <w:pStyle w:val="Normal"/>
              <w:rPr>
                <w:rFonts w:ascii="Calibri" w:hAnsi="Calibri" w:eastAsia="Calibri" w:cs="Calibri"/>
                <w:color w:val="000000" w:themeColor="text1" w:themeTint="FF" w:themeShade="FF"/>
                <w:sz w:val="24"/>
                <w:szCs w:val="24"/>
              </w:rPr>
            </w:pPr>
            <w:r w:rsidRPr="4046C1BA" w:rsidR="2247A945">
              <w:rPr>
                <w:rFonts w:ascii="Calibri" w:hAnsi="Calibri" w:eastAsia="Calibri" w:cs="Calibri"/>
                <w:color w:val="000000" w:themeColor="text1" w:themeTint="FF" w:themeShade="FF"/>
                <w:sz w:val="24"/>
                <w:szCs w:val="24"/>
              </w:rPr>
              <w:t>Intro to Communication Studies</w:t>
            </w:r>
          </w:p>
        </w:tc>
        <w:tc>
          <w:tcPr>
            <w:cnfStyle w:val="000000000000" w:firstRow="0" w:lastRow="0" w:firstColumn="0" w:lastColumn="0" w:oddVBand="0" w:evenVBand="0" w:oddHBand="0" w:evenHBand="0" w:firstRowFirstColumn="0" w:firstRowLastColumn="0" w:lastRowFirstColumn="0" w:lastRowLastColumn="0"/>
            <w:tcW w:w="960" w:type="dxa"/>
            <w:tcMar/>
          </w:tcPr>
          <w:p w:rsidR="2247A945" w:rsidP="4046C1BA" w:rsidRDefault="2247A945" w14:paraId="72987D63" w14:textId="5DD3A926">
            <w:pPr>
              <w:pStyle w:val="Normal"/>
              <w:jc w:val="center"/>
              <w:rPr>
                <w:rFonts w:ascii="Calibri" w:hAnsi="Calibri" w:eastAsia="Calibri" w:cs="Calibri"/>
                <w:color w:val="000000" w:themeColor="text1" w:themeTint="FF" w:themeShade="FF"/>
                <w:sz w:val="24"/>
                <w:szCs w:val="24"/>
              </w:rPr>
            </w:pPr>
            <w:r w:rsidRPr="4046C1BA" w:rsidR="2247A945">
              <w:rPr>
                <w:rFonts w:ascii="Calibri" w:hAnsi="Calibri" w:eastAsia="Calibri" w:cs="Calibri"/>
                <w:color w:val="000000" w:themeColor="text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1155" w:type="dxa"/>
            <w:tcMar/>
          </w:tcPr>
          <w:p w:rsidR="4046C1BA" w:rsidP="4046C1BA" w:rsidRDefault="4046C1BA" w14:paraId="01739059" w14:textId="70F03805">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tcPr>
          <w:p w:rsidR="4046C1BA" w:rsidP="4046C1BA" w:rsidRDefault="4046C1BA" w14:paraId="12CEDDA3" w14:textId="03B2DB44">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tcPr>
          <w:p w:rsidR="4046C1BA" w:rsidP="4046C1BA" w:rsidRDefault="4046C1BA" w14:paraId="378FA138" w14:textId="180BD101">
            <w:pPr>
              <w:pStyle w:val="Normal"/>
              <w:jc w:val="center"/>
              <w:rPr>
                <w:rFonts w:ascii="Calibri" w:hAnsi="Calibri" w:eastAsia="Calibri" w:cs="Calibri"/>
                <w:color w:val="000000" w:themeColor="text1" w:themeTint="FF" w:themeShade="FF"/>
                <w:sz w:val="24"/>
                <w:szCs w:val="24"/>
              </w:rPr>
            </w:pPr>
          </w:p>
        </w:tc>
      </w:tr>
      <w:tr w:rsidR="00404F6F" w:rsidTr="5E12C491" w14:paraId="06426D6F" w14:textId="77777777">
        <w:trPr>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Pr="00404F6F" w:rsidR="00404F6F" w:rsidP="59D368C5" w:rsidRDefault="003732E7" w14:paraId="1BAE5F9A" w14:textId="3D2BED6B">
            <w:pPr>
              <w:rPr>
                <w:rFonts w:ascii="Calibri" w:hAnsi="Calibri" w:eastAsia="Calibri" w:cs="Calibri"/>
                <w:b w:val="0"/>
                <w:color w:val="000000" w:themeColor="text1"/>
                <w:sz w:val="24"/>
                <w:szCs w:val="24"/>
              </w:rPr>
            </w:pPr>
            <w:r>
              <w:rPr>
                <w:rFonts w:ascii="Calibri" w:hAnsi="Calibri" w:eastAsia="Calibri" w:cs="Calibri"/>
                <w:b w:val="0"/>
                <w:color w:val="000000" w:themeColor="text1"/>
                <w:sz w:val="24"/>
                <w:szCs w:val="24"/>
              </w:rPr>
              <w:t>COMM 104</w:t>
            </w:r>
          </w:p>
        </w:tc>
        <w:tc>
          <w:tcPr>
            <w:cnfStyle w:val="000000000000" w:firstRow="0" w:lastRow="0" w:firstColumn="0" w:lastColumn="0" w:oddVBand="0" w:evenVBand="0" w:oddHBand="0" w:evenHBand="0" w:firstRowFirstColumn="0" w:firstRowLastColumn="0" w:lastRowFirstColumn="0" w:lastRowLastColumn="0"/>
            <w:tcW w:w="5715" w:type="dxa"/>
            <w:tcMar/>
          </w:tcPr>
          <w:p w:rsidRPr="59D368C5" w:rsidR="00404F6F" w:rsidP="59D368C5" w:rsidRDefault="00F95738" w14:paraId="0B9657B0" w14:textId="3B94250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Argumentation and Debate</w:t>
            </w:r>
          </w:p>
        </w:tc>
        <w:tc>
          <w:tcPr>
            <w:cnfStyle w:val="000000000000" w:firstRow="0" w:lastRow="0" w:firstColumn="0" w:lastColumn="0" w:oddVBand="0" w:evenVBand="0" w:oddHBand="0" w:evenHBand="0" w:firstRowFirstColumn="0" w:firstRowLastColumn="0" w:lastRowFirstColumn="0" w:lastRowLastColumn="0"/>
            <w:tcW w:w="960" w:type="dxa"/>
            <w:tcMar/>
          </w:tcPr>
          <w:p w:rsidRPr="59D368C5" w:rsidR="00404F6F" w:rsidP="59D368C5" w:rsidRDefault="00F95738" w14:paraId="21AEAC05" w14:textId="3D5D38D0">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55" w:type="dxa"/>
            <w:tcMar/>
          </w:tcPr>
          <w:p w:rsidR="00404F6F" w:rsidP="59D368C5" w:rsidRDefault="00404F6F" w14:paraId="4509EE5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tcPr>
          <w:p w:rsidR="00404F6F" w:rsidP="59D368C5" w:rsidRDefault="00404F6F" w14:paraId="2908839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tcPr>
          <w:p w:rsidR="00404F6F" w:rsidP="59D368C5" w:rsidRDefault="00404F6F" w14:paraId="46AD6D2F"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r w:rsidR="003732E7" w:rsidTr="5E12C491" w14:paraId="272D12FF" w14:textId="77777777">
        <w:trPr>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003732E7" w:rsidP="59D368C5" w:rsidRDefault="003732E7" w14:paraId="189E3D62" w14:textId="305D9326">
            <w:pPr>
              <w:rPr>
                <w:rFonts w:ascii="Calibri" w:hAnsi="Calibri" w:eastAsia="Calibri" w:cs="Calibri"/>
                <w:b w:val="0"/>
                <w:color w:val="000000" w:themeColor="text1"/>
                <w:sz w:val="24"/>
                <w:szCs w:val="24"/>
              </w:rPr>
            </w:pPr>
            <w:r>
              <w:rPr>
                <w:rFonts w:ascii="Calibri" w:hAnsi="Calibri" w:eastAsia="Calibri" w:cs="Calibri"/>
                <w:b w:val="0"/>
                <w:color w:val="000000" w:themeColor="text1"/>
                <w:sz w:val="24"/>
                <w:szCs w:val="24"/>
              </w:rPr>
              <w:t>COMM 122</w:t>
            </w:r>
          </w:p>
        </w:tc>
        <w:tc>
          <w:tcPr>
            <w:cnfStyle w:val="000000000000" w:firstRow="0" w:lastRow="0" w:firstColumn="0" w:lastColumn="0" w:oddVBand="0" w:evenVBand="0" w:oddHBand="0" w:evenHBand="0" w:firstRowFirstColumn="0" w:firstRowLastColumn="0" w:lastRowFirstColumn="0" w:lastRowLastColumn="0"/>
            <w:tcW w:w="5715" w:type="dxa"/>
            <w:tcMar/>
          </w:tcPr>
          <w:p w:rsidRPr="59D368C5" w:rsidR="003732E7" w:rsidP="59D368C5" w:rsidRDefault="00F95738" w14:paraId="09A59AEB" w14:textId="1135BF6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Intercultural Communication</w:t>
            </w:r>
          </w:p>
        </w:tc>
        <w:tc>
          <w:tcPr>
            <w:cnfStyle w:val="000000000000" w:firstRow="0" w:lastRow="0" w:firstColumn="0" w:lastColumn="0" w:oddVBand="0" w:evenVBand="0" w:oddHBand="0" w:evenHBand="0" w:firstRowFirstColumn="0" w:firstRowLastColumn="0" w:lastRowFirstColumn="0" w:lastRowLastColumn="0"/>
            <w:tcW w:w="960" w:type="dxa"/>
            <w:tcMar/>
          </w:tcPr>
          <w:p w:rsidRPr="59D368C5" w:rsidR="003732E7" w:rsidP="59D368C5" w:rsidRDefault="00F95738" w14:paraId="3134D355" w14:textId="55FC4CF2">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55" w:type="dxa"/>
            <w:tcMar/>
          </w:tcPr>
          <w:p w:rsidR="003732E7" w:rsidP="59D368C5" w:rsidRDefault="003732E7" w14:paraId="529C32E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tcPr>
          <w:p w:rsidR="003732E7" w:rsidP="59D368C5" w:rsidRDefault="003732E7" w14:paraId="4D5AA02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tcPr>
          <w:p w:rsidR="003732E7" w:rsidP="59D368C5" w:rsidRDefault="003732E7" w14:paraId="28BE4A17"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r w:rsidR="4046C1BA" w:rsidTr="5E12C491" w14:paraId="670F0935">
        <w:trPr>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69082691" w:rsidP="4046C1BA" w:rsidRDefault="69082691" w14:paraId="6361F978" w14:textId="2A0D84A9">
            <w:pPr>
              <w:pStyle w:val="Normal"/>
              <w:rPr>
                <w:rFonts w:ascii="Calibri" w:hAnsi="Calibri" w:eastAsia="Calibri" w:cs="Calibri"/>
                <w:b w:val="0"/>
                <w:bCs w:val="0"/>
                <w:color w:val="000000" w:themeColor="text1" w:themeTint="FF" w:themeShade="FF"/>
                <w:sz w:val="24"/>
                <w:szCs w:val="24"/>
              </w:rPr>
            </w:pPr>
            <w:r w:rsidRPr="4046C1BA" w:rsidR="69082691">
              <w:rPr>
                <w:rFonts w:ascii="Calibri" w:hAnsi="Calibri" w:eastAsia="Calibri" w:cs="Calibri"/>
                <w:b w:val="0"/>
                <w:bCs w:val="0"/>
                <w:color w:val="000000" w:themeColor="text1" w:themeTint="FF" w:themeShade="FF"/>
                <w:sz w:val="24"/>
                <w:szCs w:val="24"/>
              </w:rPr>
              <w:t>COMM 130</w:t>
            </w:r>
          </w:p>
        </w:tc>
        <w:tc>
          <w:tcPr>
            <w:cnfStyle w:val="000000000000" w:firstRow="0" w:lastRow="0" w:firstColumn="0" w:lastColumn="0" w:oddVBand="0" w:evenVBand="0" w:oddHBand="0" w:evenHBand="0" w:firstRowFirstColumn="0" w:firstRowLastColumn="0" w:lastRowFirstColumn="0" w:lastRowLastColumn="0"/>
            <w:tcW w:w="5715" w:type="dxa"/>
            <w:tcMar/>
          </w:tcPr>
          <w:p w:rsidR="69082691" w:rsidP="4046C1BA" w:rsidRDefault="69082691" w14:paraId="302D2143" w14:textId="4A09CD64">
            <w:pPr>
              <w:pStyle w:val="Normal"/>
              <w:rPr>
                <w:rFonts w:ascii="Calibri" w:hAnsi="Calibri" w:eastAsia="Calibri" w:cs="Calibri"/>
                <w:color w:val="000000" w:themeColor="text1" w:themeTint="FF" w:themeShade="FF"/>
                <w:sz w:val="24"/>
                <w:szCs w:val="24"/>
              </w:rPr>
            </w:pPr>
            <w:r w:rsidRPr="4046C1BA" w:rsidR="69082691">
              <w:rPr>
                <w:rFonts w:ascii="Calibri" w:hAnsi="Calibri" w:eastAsia="Calibri" w:cs="Calibri"/>
                <w:color w:val="000000" w:themeColor="text1" w:themeTint="FF" w:themeShade="FF"/>
                <w:sz w:val="24"/>
                <w:szCs w:val="24"/>
              </w:rPr>
              <w:t xml:space="preserve">Intro to the Oral </w:t>
            </w:r>
            <w:r w:rsidRPr="4046C1BA" w:rsidR="69082691">
              <w:rPr>
                <w:rFonts w:ascii="Calibri" w:hAnsi="Calibri" w:eastAsia="Calibri" w:cs="Calibri"/>
                <w:color w:val="000000" w:themeColor="text1" w:themeTint="FF" w:themeShade="FF"/>
                <w:sz w:val="24"/>
                <w:szCs w:val="24"/>
              </w:rPr>
              <w:t>Interpretation</w:t>
            </w:r>
            <w:r w:rsidRPr="4046C1BA" w:rsidR="69082691">
              <w:rPr>
                <w:rFonts w:ascii="Calibri" w:hAnsi="Calibri" w:eastAsia="Calibri" w:cs="Calibri"/>
                <w:color w:val="000000" w:themeColor="text1" w:themeTint="FF" w:themeShade="FF"/>
                <w:sz w:val="24"/>
                <w:szCs w:val="24"/>
              </w:rPr>
              <w:t xml:space="preserve"> of Literature</w:t>
            </w:r>
          </w:p>
        </w:tc>
        <w:tc>
          <w:tcPr>
            <w:cnfStyle w:val="000000000000" w:firstRow="0" w:lastRow="0" w:firstColumn="0" w:lastColumn="0" w:oddVBand="0" w:evenVBand="0" w:oddHBand="0" w:evenHBand="0" w:firstRowFirstColumn="0" w:firstRowLastColumn="0" w:lastRowFirstColumn="0" w:lastRowLastColumn="0"/>
            <w:tcW w:w="960" w:type="dxa"/>
            <w:tcMar/>
          </w:tcPr>
          <w:p w:rsidR="69082691" w:rsidP="4046C1BA" w:rsidRDefault="69082691" w14:paraId="7AF725FF" w14:textId="321EA238">
            <w:pPr>
              <w:pStyle w:val="Normal"/>
              <w:jc w:val="center"/>
              <w:rPr>
                <w:rFonts w:ascii="Calibri" w:hAnsi="Calibri" w:eastAsia="Calibri" w:cs="Calibri"/>
                <w:color w:val="000000" w:themeColor="text1" w:themeTint="FF" w:themeShade="FF"/>
                <w:sz w:val="24"/>
                <w:szCs w:val="24"/>
              </w:rPr>
            </w:pPr>
            <w:r w:rsidRPr="4046C1BA" w:rsidR="69082691">
              <w:rPr>
                <w:rFonts w:ascii="Calibri" w:hAnsi="Calibri" w:eastAsia="Calibri" w:cs="Calibri"/>
                <w:color w:val="000000" w:themeColor="text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1155" w:type="dxa"/>
            <w:tcMar/>
          </w:tcPr>
          <w:p w:rsidR="4046C1BA" w:rsidP="4046C1BA" w:rsidRDefault="4046C1BA" w14:paraId="2A37DD1F" w14:textId="4CA1D592">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tcPr>
          <w:p w:rsidR="4046C1BA" w:rsidP="4046C1BA" w:rsidRDefault="4046C1BA" w14:paraId="130D500C" w14:textId="397A3DE0">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tcPr>
          <w:p w:rsidR="4046C1BA" w:rsidP="4046C1BA" w:rsidRDefault="4046C1BA" w14:paraId="2640F329" w14:textId="574DAAF4">
            <w:pPr>
              <w:pStyle w:val="Normal"/>
              <w:jc w:val="center"/>
              <w:rPr>
                <w:rFonts w:ascii="Calibri" w:hAnsi="Calibri" w:eastAsia="Calibri" w:cs="Calibri"/>
                <w:color w:val="000000" w:themeColor="text1" w:themeTint="FF" w:themeShade="FF"/>
                <w:sz w:val="24"/>
                <w:szCs w:val="24"/>
              </w:rPr>
            </w:pPr>
          </w:p>
        </w:tc>
      </w:tr>
      <w:tr w:rsidR="5E12C491" w:rsidTr="5E12C491" w14:paraId="1E28C420">
        <w:trPr>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6CEE659E" w:rsidP="5E12C491" w:rsidRDefault="6CEE659E" w14:paraId="632B26D9" w14:textId="16BF7FA0">
            <w:pPr>
              <w:pStyle w:val="Normal"/>
              <w:rPr>
                <w:rFonts w:ascii="Calibri" w:hAnsi="Calibri" w:eastAsia="Calibri" w:cs="Calibri"/>
                <w:b w:val="0"/>
                <w:bCs w:val="0"/>
                <w:color w:val="000000" w:themeColor="text1" w:themeTint="FF" w:themeShade="FF"/>
                <w:sz w:val="24"/>
                <w:szCs w:val="24"/>
              </w:rPr>
            </w:pPr>
            <w:r w:rsidRPr="5E12C491" w:rsidR="6CEE659E">
              <w:rPr>
                <w:rFonts w:ascii="Calibri" w:hAnsi="Calibri" w:eastAsia="Calibri" w:cs="Calibri"/>
                <w:b w:val="0"/>
                <w:bCs w:val="0"/>
                <w:color w:val="000000" w:themeColor="text1" w:themeTint="FF" w:themeShade="FF"/>
                <w:sz w:val="24"/>
                <w:szCs w:val="24"/>
              </w:rPr>
              <w:t>COMM 151</w:t>
            </w:r>
          </w:p>
        </w:tc>
        <w:tc>
          <w:tcPr>
            <w:cnfStyle w:val="000000000000" w:firstRow="0" w:lastRow="0" w:firstColumn="0" w:lastColumn="0" w:oddVBand="0" w:evenVBand="0" w:oddHBand="0" w:evenHBand="0" w:firstRowFirstColumn="0" w:firstRowLastColumn="0" w:lastRowFirstColumn="0" w:lastRowLastColumn="0"/>
            <w:tcW w:w="5715" w:type="dxa"/>
            <w:tcMar/>
          </w:tcPr>
          <w:p w:rsidR="6CEE659E" w:rsidP="5E12C491" w:rsidRDefault="6CEE659E" w14:paraId="50263DDD" w14:textId="0B3542A0">
            <w:pPr>
              <w:pStyle w:val="Normal"/>
              <w:rPr>
                <w:rFonts w:ascii="Calibri" w:hAnsi="Calibri" w:eastAsia="Calibri" w:cs="Calibri"/>
                <w:color w:val="000000" w:themeColor="text1" w:themeTint="FF" w:themeShade="FF"/>
                <w:sz w:val="24"/>
                <w:szCs w:val="24"/>
              </w:rPr>
            </w:pPr>
            <w:r w:rsidRPr="5E12C491" w:rsidR="6CEE659E">
              <w:rPr>
                <w:rFonts w:ascii="Calibri" w:hAnsi="Calibri" w:eastAsia="Calibri" w:cs="Calibri"/>
                <w:color w:val="000000" w:themeColor="text1" w:themeTint="FF" w:themeShade="FF"/>
                <w:sz w:val="24"/>
                <w:szCs w:val="24"/>
              </w:rPr>
              <w:t xml:space="preserve">Small Group Communication </w:t>
            </w:r>
          </w:p>
        </w:tc>
        <w:tc>
          <w:tcPr>
            <w:cnfStyle w:val="000000000000" w:firstRow="0" w:lastRow="0" w:firstColumn="0" w:lastColumn="0" w:oddVBand="0" w:evenVBand="0" w:oddHBand="0" w:evenHBand="0" w:firstRowFirstColumn="0" w:firstRowLastColumn="0" w:lastRowFirstColumn="0" w:lastRowLastColumn="0"/>
            <w:tcW w:w="960" w:type="dxa"/>
            <w:tcMar/>
          </w:tcPr>
          <w:p w:rsidR="6CEE659E" w:rsidP="5E12C491" w:rsidRDefault="6CEE659E" w14:paraId="5974A727" w14:textId="66C6A5B5">
            <w:pPr>
              <w:pStyle w:val="Normal"/>
              <w:jc w:val="center"/>
              <w:rPr>
                <w:rFonts w:ascii="Calibri" w:hAnsi="Calibri" w:eastAsia="Calibri" w:cs="Calibri"/>
                <w:color w:val="000000" w:themeColor="text1" w:themeTint="FF" w:themeShade="FF"/>
                <w:sz w:val="24"/>
                <w:szCs w:val="24"/>
              </w:rPr>
            </w:pPr>
            <w:r w:rsidRPr="5E12C491" w:rsidR="6CEE659E">
              <w:rPr>
                <w:rFonts w:ascii="Calibri" w:hAnsi="Calibri" w:eastAsia="Calibri" w:cs="Calibri"/>
                <w:color w:val="000000" w:themeColor="text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1155" w:type="dxa"/>
            <w:tcMar/>
          </w:tcPr>
          <w:p w:rsidR="5E12C491" w:rsidP="5E12C491" w:rsidRDefault="5E12C491" w14:paraId="7532EA01" w14:textId="21494B76">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tcPr>
          <w:p w:rsidR="5E12C491" w:rsidP="5E12C491" w:rsidRDefault="5E12C491" w14:paraId="378B33AD" w14:textId="7D7F4514">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tcPr>
          <w:p w:rsidR="5E12C491" w:rsidP="5E12C491" w:rsidRDefault="5E12C491" w14:paraId="2A82F11F" w14:textId="6E1C2638">
            <w:pPr>
              <w:pStyle w:val="Normal"/>
              <w:jc w:val="center"/>
              <w:rPr>
                <w:rFonts w:ascii="Calibri" w:hAnsi="Calibri" w:eastAsia="Calibri" w:cs="Calibri"/>
                <w:color w:val="000000" w:themeColor="text1" w:themeTint="FF" w:themeShade="FF"/>
                <w:sz w:val="24"/>
                <w:szCs w:val="24"/>
              </w:rPr>
            </w:pPr>
          </w:p>
        </w:tc>
      </w:tr>
      <w:tr w:rsidR="00404F6F" w:rsidTr="5E12C491" w14:paraId="13E4DFFE" w14:textId="77777777">
        <w:trPr>
          <w:trHeight w:val="300"/>
        </w:trPr>
        <w:tc>
          <w:tcPr>
            <w:cnfStyle w:val="001000000000" w:firstRow="0" w:lastRow="0" w:firstColumn="1" w:lastColumn="0" w:oddVBand="0" w:evenVBand="0" w:oddHBand="0" w:evenHBand="0" w:firstRowFirstColumn="0" w:firstRowLastColumn="0" w:lastRowFirstColumn="0" w:lastRowLastColumn="0"/>
            <w:tcW w:w="2295" w:type="dxa"/>
            <w:tcMar/>
          </w:tcPr>
          <w:p w:rsidRPr="003732E7" w:rsidR="00404F6F" w:rsidP="59D368C5" w:rsidRDefault="003732E7" w14:paraId="6575DF04" w14:textId="4C877B6C">
            <w:pPr>
              <w:rPr>
                <w:rFonts w:ascii="Calibri" w:hAnsi="Calibri" w:eastAsia="Calibri" w:cs="Calibri"/>
                <w:b w:val="0"/>
                <w:color w:val="000000" w:themeColor="text1"/>
                <w:sz w:val="24"/>
                <w:szCs w:val="24"/>
              </w:rPr>
            </w:pPr>
            <w:r>
              <w:rPr>
                <w:rFonts w:ascii="Calibri" w:hAnsi="Calibri" w:eastAsia="Calibri" w:cs="Calibri"/>
                <w:b w:val="0"/>
                <w:color w:val="000000" w:themeColor="text1"/>
                <w:sz w:val="24"/>
                <w:szCs w:val="24"/>
              </w:rPr>
              <w:t>JOURNAL 100</w:t>
            </w:r>
          </w:p>
        </w:tc>
        <w:tc>
          <w:tcPr>
            <w:cnfStyle w:val="000000000000" w:firstRow="0" w:lastRow="0" w:firstColumn="0" w:lastColumn="0" w:oddVBand="0" w:evenVBand="0" w:oddHBand="0" w:evenHBand="0" w:firstRowFirstColumn="0" w:firstRowLastColumn="0" w:lastRowFirstColumn="0" w:lastRowLastColumn="0"/>
            <w:tcW w:w="5715" w:type="dxa"/>
            <w:tcMar/>
          </w:tcPr>
          <w:p w:rsidRPr="59D368C5" w:rsidR="00404F6F" w:rsidP="59D368C5" w:rsidRDefault="00F95738" w14:paraId="75F98294" w14:textId="0352868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Social Values in Mass Communication</w:t>
            </w:r>
          </w:p>
        </w:tc>
        <w:tc>
          <w:tcPr>
            <w:cnfStyle w:val="000000000000" w:firstRow="0" w:lastRow="0" w:firstColumn="0" w:lastColumn="0" w:oddVBand="0" w:evenVBand="0" w:oddHBand="0" w:evenHBand="0" w:firstRowFirstColumn="0" w:firstRowLastColumn="0" w:lastRowFirstColumn="0" w:lastRowLastColumn="0"/>
            <w:tcW w:w="960" w:type="dxa"/>
            <w:tcMar/>
          </w:tcPr>
          <w:p w:rsidRPr="59D368C5" w:rsidR="00404F6F" w:rsidP="59D368C5" w:rsidRDefault="00F95738" w14:paraId="00136EB7" w14:textId="0FFF2BC1">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55" w:type="dxa"/>
            <w:tcMar/>
          </w:tcPr>
          <w:p w:rsidR="00404F6F" w:rsidP="59D368C5" w:rsidRDefault="00404F6F" w14:paraId="048B1B3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tcPr>
          <w:p w:rsidR="00404F6F" w:rsidP="59D368C5" w:rsidRDefault="00404F6F" w14:paraId="679F609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tcPr>
          <w:p w:rsidR="00404F6F" w:rsidP="59D368C5" w:rsidRDefault="00404F6F" w14:paraId="684AAD3D"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bl>
    <w:p w:rsidR="59D368C5" w:rsidP="59D368C5" w:rsidRDefault="59D368C5" w14:paraId="2DF22C0B" w14:textId="2CE86127">
      <w:pPr>
        <w:rPr>
          <w:rFonts w:eastAsiaTheme="minorEastAsia"/>
          <w:sz w:val="24"/>
          <w:szCs w:val="24"/>
        </w:rPr>
      </w:pPr>
    </w:p>
    <w:p w:rsidRPr="008517D0" w:rsidR="008517D0" w:rsidP="59D368C5" w:rsidRDefault="0079841C" w14:paraId="7882819A" w14:textId="77777777">
      <w:pPr>
        <w:pStyle w:val="Heading2"/>
        <w:rPr>
          <w:b/>
          <w:bCs/>
          <w:color w:val="auto"/>
        </w:rPr>
      </w:pPr>
      <w:r w:rsidRPr="008517D0">
        <w:rPr>
          <w:b/>
          <w:bCs/>
          <w:color w:val="auto"/>
        </w:rPr>
        <w:t>List B</w:t>
      </w:r>
    </w:p>
    <w:p w:rsidR="0079841C" w:rsidP="008517D0" w:rsidRDefault="0079841C" w14:paraId="200D2FB6" w14:textId="0F12AF36">
      <w:pPr>
        <w:rPr>
          <w:rFonts w:ascii="Calibri" w:hAnsi="Calibri" w:eastAsia="Calibri" w:cs="Calibri"/>
          <w:sz w:val="20"/>
          <w:szCs w:val="20"/>
        </w:rPr>
      </w:pPr>
      <w:r w:rsidRPr="59D368C5">
        <w:t xml:space="preserve">Select </w:t>
      </w:r>
      <w:r w:rsidR="003732E7">
        <w:t>ONE</w:t>
      </w:r>
      <w:r w:rsidRPr="59D368C5">
        <w:t xml:space="preserve"> of the following courses (</w:t>
      </w:r>
      <w:r w:rsidR="003732E7">
        <w:t>3</w:t>
      </w:r>
      <w:r w:rsidRPr="59D368C5">
        <w:t xml:space="preserve"> units)</w:t>
      </w:r>
    </w:p>
    <w:tbl>
      <w:tblPr>
        <w:tblStyle w:val="GridTable1Light"/>
        <w:tblW w:w="0" w:type="auto"/>
        <w:tblInd w:w="105" w:type="dxa"/>
        <w:tblLayout w:type="fixed"/>
        <w:tblLook w:val="06A0" w:firstRow="1" w:lastRow="0" w:firstColumn="1" w:lastColumn="0" w:noHBand="1" w:noVBand="1"/>
        <w:tblCaption w:val="Communication Studies List B"/>
        <w:tblDescription w:val="Three courses available to meet List B requirements."/>
      </w:tblPr>
      <w:tblGrid>
        <w:gridCol w:w="2325"/>
        <w:gridCol w:w="5700"/>
        <w:gridCol w:w="945"/>
        <w:gridCol w:w="1185"/>
        <w:gridCol w:w="795"/>
        <w:gridCol w:w="1035"/>
      </w:tblGrid>
      <w:tr w:rsidR="59D368C5" w:rsidTr="4D48ADA2" w14:paraId="026327DB" w14:textId="7777777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325" w:type="dxa"/>
            <w:tcMar/>
          </w:tcPr>
          <w:p w:rsidR="0079841C" w:rsidP="59D368C5" w:rsidRDefault="0079841C" w14:paraId="3C2E37E1" w14:textId="587F71FD">
            <w:pPr>
              <w:jc w:val="center"/>
              <w:rPr>
                <w:sz w:val="24"/>
                <w:szCs w:val="24"/>
              </w:rPr>
            </w:pPr>
            <w:r w:rsidRPr="59D368C5">
              <w:rPr>
                <w:sz w:val="24"/>
                <w:szCs w:val="24"/>
              </w:rPr>
              <w:t>Course</w:t>
            </w:r>
          </w:p>
        </w:tc>
        <w:tc>
          <w:tcPr>
            <w:cnfStyle w:val="000000000000" w:firstRow="0" w:lastRow="0" w:firstColumn="0" w:lastColumn="0" w:oddVBand="0" w:evenVBand="0" w:oddHBand="0" w:evenHBand="0" w:firstRowFirstColumn="0" w:firstRowLastColumn="0" w:lastRowFirstColumn="0" w:lastRowLastColumn="0"/>
            <w:tcW w:w="5700" w:type="dxa"/>
            <w:tcMar/>
          </w:tcPr>
          <w:p w:rsidR="0079841C" w:rsidP="59D368C5" w:rsidRDefault="0079841C" w14:paraId="56AA7913" w14:textId="0EFE644A">
            <w:pPr>
              <w:spacing w:line="259" w:lineRule="auto"/>
              <w:jc w:val="center"/>
              <w:cnfStyle w:val="100000000000" w:firstRow="1" w:lastRow="0" w:firstColumn="0" w:lastColumn="0" w:oddVBand="0" w:evenVBand="0" w:oddHBand="0" w:evenHBand="0" w:firstRowFirstColumn="0" w:firstRowLastColumn="0" w:lastRowFirstColumn="0" w:lastRowLastColumn="0"/>
            </w:pPr>
            <w:r w:rsidRPr="59D368C5">
              <w:rPr>
                <w:sz w:val="24"/>
                <w:szCs w:val="24"/>
              </w:rPr>
              <w:t>Title</w:t>
            </w:r>
          </w:p>
        </w:tc>
        <w:tc>
          <w:tcPr>
            <w:cnfStyle w:val="000000000000" w:firstRow="0" w:lastRow="0" w:firstColumn="0" w:lastColumn="0" w:oddVBand="0" w:evenVBand="0" w:oddHBand="0" w:evenHBand="0" w:firstRowFirstColumn="0" w:firstRowLastColumn="0" w:lastRowFirstColumn="0" w:lastRowLastColumn="0"/>
            <w:tcW w:w="945" w:type="dxa"/>
            <w:tcMar/>
          </w:tcPr>
          <w:p w:rsidR="59D368C5" w:rsidP="59D368C5" w:rsidRDefault="59D368C5" w14:paraId="37168C39" w14:textId="7F2D67A4">
            <w:pPr>
              <w:keepNext/>
              <w:jc w:val="center"/>
              <w:cnfStyle w:val="100000000000" w:firstRow="1" w:lastRow="0" w:firstColumn="0" w:lastColumn="0" w:oddVBand="0" w:evenVBand="0" w:oddHBand="0" w:evenHBand="0" w:firstRowFirstColumn="0" w:firstRowLastColumn="0" w:lastRowFirstColumn="0" w:lastRowLastColumn="0"/>
              <w:rPr>
                <w:sz w:val="24"/>
                <w:szCs w:val="24"/>
              </w:rPr>
            </w:pPr>
            <w:r w:rsidRPr="59D368C5">
              <w:rPr>
                <w:sz w:val="24"/>
                <w:szCs w:val="24"/>
              </w:rPr>
              <w:t>Units</w:t>
            </w:r>
          </w:p>
        </w:tc>
        <w:tc>
          <w:tcPr>
            <w:cnfStyle w:val="000000000000" w:firstRow="0" w:lastRow="0" w:firstColumn="0" w:lastColumn="0" w:oddVBand="0" w:evenVBand="0" w:oddHBand="0" w:evenHBand="0" w:firstRowFirstColumn="0" w:firstRowLastColumn="0" w:lastRowFirstColumn="0" w:lastRowLastColumn="0"/>
            <w:tcW w:w="1185" w:type="dxa"/>
            <w:tcMar/>
          </w:tcPr>
          <w:p w:rsidR="59D368C5" w:rsidP="59D368C5" w:rsidRDefault="59D368C5" w14:paraId="5CE96876" w14:textId="61F5C588">
            <w:pPr>
              <w:keepNext/>
              <w:jc w:val="center"/>
              <w:cnfStyle w:val="100000000000" w:firstRow="1" w:lastRow="0" w:firstColumn="0" w:lastColumn="0" w:oddVBand="0" w:evenVBand="0" w:oddHBand="0" w:evenHBand="0" w:firstRowFirstColumn="0" w:firstRowLastColumn="0" w:lastRowFirstColumn="0" w:lastRowLastColumn="0"/>
              <w:rPr>
                <w:sz w:val="24"/>
                <w:szCs w:val="24"/>
              </w:rPr>
            </w:pPr>
            <w:r w:rsidRPr="59D368C5">
              <w:rPr>
                <w:sz w:val="24"/>
                <w:szCs w:val="24"/>
              </w:rPr>
              <w:t>Grade</w:t>
            </w:r>
          </w:p>
        </w:tc>
        <w:tc>
          <w:tcPr>
            <w:cnfStyle w:val="000000000000" w:firstRow="0" w:lastRow="0" w:firstColumn="0" w:lastColumn="0" w:oddVBand="0" w:evenVBand="0" w:oddHBand="0" w:evenHBand="0" w:firstRowFirstColumn="0" w:firstRowLastColumn="0" w:lastRowFirstColumn="0" w:lastRowLastColumn="0"/>
            <w:tcW w:w="795" w:type="dxa"/>
            <w:tcMar/>
          </w:tcPr>
          <w:p w:rsidR="59D368C5" w:rsidP="59D368C5" w:rsidRDefault="59D368C5" w14:paraId="6B696E3F" w14:textId="7AAEC074">
            <w:pPr>
              <w:jc w:val="center"/>
              <w:cnfStyle w:val="100000000000" w:firstRow="1" w:lastRow="0" w:firstColumn="0" w:lastColumn="0" w:oddVBand="0" w:evenVBand="0" w:oddHBand="0" w:evenHBand="0" w:firstRowFirstColumn="0" w:firstRowLastColumn="0" w:lastRowFirstColumn="0" w:lastRowLastColumn="0"/>
              <w:rPr>
                <w:sz w:val="24"/>
                <w:szCs w:val="24"/>
              </w:rPr>
            </w:pPr>
            <w:r w:rsidRPr="59D368C5">
              <w:rPr>
                <w:sz w:val="24"/>
                <w:szCs w:val="24"/>
              </w:rPr>
              <w:t>IP</w:t>
            </w:r>
          </w:p>
        </w:tc>
        <w:tc>
          <w:tcPr>
            <w:cnfStyle w:val="000000000000" w:firstRow="0" w:lastRow="0" w:firstColumn="0" w:lastColumn="0" w:oddVBand="0" w:evenVBand="0" w:oddHBand="0" w:evenHBand="0" w:firstRowFirstColumn="0" w:firstRowLastColumn="0" w:lastRowFirstColumn="0" w:lastRowLastColumn="0"/>
            <w:tcW w:w="1035" w:type="dxa"/>
            <w:tcMar/>
          </w:tcPr>
          <w:p w:rsidR="1227E140" w:rsidP="59D368C5" w:rsidRDefault="1227E140" w14:paraId="37C50D87" w14:textId="1094DB53">
            <w:pPr>
              <w:keepNext/>
              <w:tabs>
                <w:tab w:val="right" w:pos="297"/>
              </w:tabs>
              <w:spacing w:line="259" w:lineRule="auto"/>
              <w:jc w:val="center"/>
              <w:cnfStyle w:val="100000000000" w:firstRow="1" w:lastRow="0" w:firstColumn="0" w:lastColumn="0" w:oddVBand="0" w:evenVBand="0" w:oddHBand="0" w:evenHBand="0" w:firstRowFirstColumn="0" w:firstRowLastColumn="0" w:lastRowFirstColumn="0" w:lastRowLastColumn="0"/>
            </w:pPr>
            <w:r w:rsidRPr="59D368C5">
              <w:rPr>
                <w:sz w:val="24"/>
                <w:szCs w:val="24"/>
              </w:rPr>
              <w:t>Need</w:t>
            </w:r>
          </w:p>
        </w:tc>
      </w:tr>
      <w:tr w:rsidR="4046C1BA" w:rsidTr="4D48ADA2" w14:paraId="725A0A13">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39D86AAB" w:rsidP="4046C1BA" w:rsidRDefault="39D86AAB" w14:paraId="28194626" w14:textId="1C0F142F">
            <w:pPr>
              <w:pStyle w:val="Normal"/>
              <w:rPr>
                <w:rFonts w:ascii="Calibri" w:hAnsi="Calibri" w:eastAsia="Calibri" w:cs="Calibri"/>
                <w:b w:val="0"/>
                <w:bCs w:val="0"/>
                <w:color w:val="000000" w:themeColor="text1" w:themeTint="FF" w:themeShade="FF"/>
                <w:sz w:val="24"/>
                <w:szCs w:val="24"/>
              </w:rPr>
            </w:pPr>
            <w:r w:rsidRPr="4046C1BA" w:rsidR="39D86AAB">
              <w:rPr>
                <w:rFonts w:ascii="Calibri" w:hAnsi="Calibri" w:eastAsia="Calibri" w:cs="Calibri"/>
                <w:b w:val="0"/>
                <w:bCs w:val="0"/>
                <w:color w:val="000000" w:themeColor="text1" w:themeTint="FF" w:themeShade="FF"/>
                <w:sz w:val="24"/>
                <w:szCs w:val="24"/>
              </w:rPr>
              <w:t>Any course from List A not already used</w:t>
            </w:r>
          </w:p>
        </w:tc>
        <w:tc>
          <w:tcPr>
            <w:cnfStyle w:val="000000000000" w:firstRow="0" w:lastRow="0" w:firstColumn="0" w:lastColumn="0" w:oddVBand="0" w:evenVBand="0" w:oddHBand="0" w:evenHBand="0" w:firstRowFirstColumn="0" w:firstRowLastColumn="0" w:lastRowFirstColumn="0" w:lastRowLastColumn="0"/>
            <w:tcW w:w="5700" w:type="dxa"/>
            <w:tcMar/>
          </w:tcPr>
          <w:p w:rsidR="39D86AAB" w:rsidP="4046C1BA" w:rsidRDefault="39D86AAB" w14:paraId="478606B3" w14:textId="40487A4E">
            <w:pPr>
              <w:pStyle w:val="Normal"/>
              <w:rPr>
                <w:rFonts w:ascii="Calibri" w:hAnsi="Calibri" w:eastAsia="Calibri" w:cs="Calibri"/>
                <w:color w:val="000000" w:themeColor="text1" w:themeTint="FF" w:themeShade="FF"/>
                <w:sz w:val="24"/>
                <w:szCs w:val="24"/>
              </w:rPr>
            </w:pPr>
            <w:r w:rsidRPr="4046C1BA" w:rsidR="39D86AAB">
              <w:rPr>
                <w:rFonts w:ascii="Calibri" w:hAnsi="Calibri" w:eastAsia="Calibri" w:cs="Calibri"/>
                <w:color w:val="000000" w:themeColor="text1" w:themeTint="FF" w:themeShade="FF"/>
                <w:sz w:val="24"/>
                <w:szCs w:val="24"/>
              </w:rPr>
              <w:t>See List A courses</w:t>
            </w:r>
          </w:p>
        </w:tc>
        <w:tc>
          <w:tcPr>
            <w:cnfStyle w:val="000000000000" w:firstRow="0" w:lastRow="0" w:firstColumn="0" w:lastColumn="0" w:oddVBand="0" w:evenVBand="0" w:oddHBand="0" w:evenHBand="0" w:firstRowFirstColumn="0" w:firstRowLastColumn="0" w:lastRowFirstColumn="0" w:lastRowLastColumn="0"/>
            <w:tcW w:w="945" w:type="dxa"/>
            <w:tcMar/>
          </w:tcPr>
          <w:p w:rsidR="39D86AAB" w:rsidP="4046C1BA" w:rsidRDefault="39D86AAB" w14:paraId="2CD54832" w14:textId="5D74CADB">
            <w:pPr>
              <w:pStyle w:val="Normal"/>
              <w:jc w:val="center"/>
              <w:rPr>
                <w:rFonts w:ascii="Calibri" w:hAnsi="Calibri" w:eastAsia="Calibri" w:cs="Calibri"/>
                <w:color w:val="000000" w:themeColor="text1" w:themeTint="FF" w:themeShade="FF"/>
                <w:sz w:val="24"/>
                <w:szCs w:val="24"/>
              </w:rPr>
            </w:pPr>
            <w:r w:rsidRPr="4046C1BA" w:rsidR="39D86AAB">
              <w:rPr>
                <w:rFonts w:ascii="Calibri" w:hAnsi="Calibri" w:eastAsia="Calibri" w:cs="Calibri"/>
                <w:color w:val="000000" w:themeColor="text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4046C1BA" w:rsidP="4046C1BA" w:rsidRDefault="4046C1BA" w14:paraId="05830B09" w14:textId="0B9E04D6">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4046C1BA" w:rsidP="4046C1BA" w:rsidRDefault="4046C1BA" w14:paraId="077F5607" w14:textId="788640E0">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4046C1BA" w:rsidP="4046C1BA" w:rsidRDefault="4046C1BA" w14:paraId="2FA61330" w14:textId="5819DF6E">
            <w:pPr>
              <w:pStyle w:val="Normal"/>
              <w:jc w:val="center"/>
              <w:rPr>
                <w:rFonts w:ascii="Calibri" w:hAnsi="Calibri" w:eastAsia="Calibri" w:cs="Calibri"/>
                <w:color w:val="000000" w:themeColor="text1" w:themeTint="FF" w:themeShade="FF"/>
                <w:sz w:val="24"/>
                <w:szCs w:val="24"/>
              </w:rPr>
            </w:pPr>
          </w:p>
        </w:tc>
      </w:tr>
      <w:tr w:rsidR="59D368C5" w:rsidTr="4D48ADA2" w14:paraId="0C02B5C8" w14:textId="77777777">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59D368C5" w:rsidP="59D368C5" w:rsidRDefault="59D368C5" w14:paraId="6A47FA8E" w14:textId="305B33DB">
            <w:pPr>
              <w:rPr>
                <w:rFonts w:ascii="Calibri" w:hAnsi="Calibri" w:eastAsia="Calibri" w:cs="Calibri"/>
                <w:b w:val="0"/>
                <w:bCs w:val="0"/>
                <w:color w:val="000000" w:themeColor="text1"/>
                <w:sz w:val="24"/>
                <w:szCs w:val="24"/>
              </w:rPr>
            </w:pPr>
            <w:r w:rsidRPr="59D368C5">
              <w:rPr>
                <w:rFonts w:ascii="Calibri" w:hAnsi="Calibri" w:eastAsia="Calibri" w:cs="Calibri"/>
                <w:b w:val="0"/>
                <w:bCs w:val="0"/>
                <w:color w:val="000000" w:themeColor="text1"/>
                <w:sz w:val="24"/>
                <w:szCs w:val="24"/>
              </w:rPr>
              <w:t>ANTHRO 10</w:t>
            </w:r>
            <w:r w:rsidR="00F95738">
              <w:rPr>
                <w:rFonts w:ascii="Calibri" w:hAnsi="Calibri" w:eastAsia="Calibri" w:cs="Calibri"/>
                <w:b w:val="0"/>
                <w:bCs w:val="0"/>
                <w:color w:val="000000" w:themeColor="text1"/>
                <w:sz w:val="24"/>
                <w:szCs w:val="24"/>
              </w:rPr>
              <w:t>2</w:t>
            </w:r>
          </w:p>
        </w:tc>
        <w:tc>
          <w:tcPr>
            <w:cnfStyle w:val="000000000000" w:firstRow="0" w:lastRow="0" w:firstColumn="0" w:lastColumn="0" w:oddVBand="0" w:evenVBand="0" w:oddHBand="0" w:evenHBand="0" w:firstRowFirstColumn="0" w:firstRowLastColumn="0" w:lastRowFirstColumn="0" w:lastRowLastColumn="0"/>
            <w:tcW w:w="5700" w:type="dxa"/>
            <w:tcMar/>
          </w:tcPr>
          <w:p w:rsidR="59D368C5" w:rsidP="59D368C5" w:rsidRDefault="005366F1" w14:paraId="6F828B02" w14:textId="5C5B30A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Human Ways of Life: Cultural Anthropology</w:t>
            </w:r>
          </w:p>
        </w:tc>
        <w:tc>
          <w:tcPr>
            <w:cnfStyle w:val="000000000000" w:firstRow="0" w:lastRow="0" w:firstColumn="0" w:lastColumn="0" w:oddVBand="0" w:evenVBand="0" w:oddHBand="0" w:evenHBand="0" w:firstRowFirstColumn="0" w:firstRowLastColumn="0" w:lastRowFirstColumn="0" w:lastRowLastColumn="0"/>
            <w:tcW w:w="945" w:type="dxa"/>
            <w:tcMar/>
          </w:tcPr>
          <w:p w:rsidR="59D368C5" w:rsidP="59D368C5" w:rsidRDefault="59D368C5" w14:paraId="18191282" w14:textId="27DB5E7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59D368C5">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59D368C5" w:rsidP="59D368C5" w:rsidRDefault="59D368C5" w14:paraId="18885F47" w14:textId="185A70F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59D368C5" w:rsidP="59D368C5" w:rsidRDefault="59D368C5" w14:paraId="49780F69" w14:textId="00B7E2E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59D368C5" w:rsidP="59D368C5" w:rsidRDefault="59D368C5" w14:paraId="6171933F" w14:textId="54272451">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r w:rsidR="4046C1BA" w:rsidTr="4D48ADA2" w14:paraId="7053C144">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5177652B" w:rsidP="4046C1BA" w:rsidRDefault="5177652B" w14:paraId="16AC76AE" w14:textId="138BA993">
            <w:pPr>
              <w:pStyle w:val="Normal"/>
              <w:rPr>
                <w:rFonts w:ascii="Calibri" w:hAnsi="Calibri" w:eastAsia="Calibri" w:cs="Calibri"/>
                <w:b w:val="0"/>
                <w:bCs w:val="0"/>
                <w:color w:val="000000" w:themeColor="text1" w:themeTint="FF" w:themeShade="FF"/>
                <w:sz w:val="24"/>
                <w:szCs w:val="24"/>
              </w:rPr>
            </w:pPr>
            <w:r w:rsidRPr="4046C1BA" w:rsidR="5177652B">
              <w:rPr>
                <w:rFonts w:ascii="Calibri" w:hAnsi="Calibri" w:eastAsia="Calibri" w:cs="Calibri"/>
                <w:b w:val="0"/>
                <w:bCs w:val="0"/>
                <w:color w:val="000000" w:themeColor="text1" w:themeTint="FF" w:themeShade="FF"/>
                <w:sz w:val="24"/>
                <w:szCs w:val="24"/>
              </w:rPr>
              <w:t>COMM 102</w:t>
            </w:r>
          </w:p>
        </w:tc>
        <w:tc>
          <w:tcPr>
            <w:cnfStyle w:val="000000000000" w:firstRow="0" w:lastRow="0" w:firstColumn="0" w:lastColumn="0" w:oddVBand="0" w:evenVBand="0" w:oddHBand="0" w:evenHBand="0" w:firstRowFirstColumn="0" w:firstRowLastColumn="0" w:lastRowFirstColumn="0" w:lastRowLastColumn="0"/>
            <w:tcW w:w="5700" w:type="dxa"/>
            <w:tcMar/>
          </w:tcPr>
          <w:p w:rsidR="5177652B" w:rsidP="4046C1BA" w:rsidRDefault="5177652B" w14:paraId="161F15E7" w14:textId="4777DBEA">
            <w:pPr>
              <w:pStyle w:val="Normal"/>
              <w:rPr>
                <w:rFonts w:ascii="Calibri" w:hAnsi="Calibri" w:eastAsia="Calibri" w:cs="Calibri"/>
                <w:color w:val="000000" w:themeColor="text1" w:themeTint="FF" w:themeShade="FF"/>
                <w:sz w:val="24"/>
                <w:szCs w:val="24"/>
              </w:rPr>
            </w:pPr>
            <w:r w:rsidRPr="4046C1BA" w:rsidR="5177652B">
              <w:rPr>
                <w:rFonts w:ascii="Calibri" w:hAnsi="Calibri" w:eastAsia="Calibri" w:cs="Calibri"/>
                <w:color w:val="000000" w:themeColor="text1" w:themeTint="FF" w:themeShade="FF"/>
                <w:sz w:val="24"/>
                <w:szCs w:val="24"/>
              </w:rPr>
              <w:t>Oral communication II</w:t>
            </w:r>
          </w:p>
        </w:tc>
        <w:tc>
          <w:tcPr>
            <w:cnfStyle w:val="000000000000" w:firstRow="0" w:lastRow="0" w:firstColumn="0" w:lastColumn="0" w:oddVBand="0" w:evenVBand="0" w:oddHBand="0" w:evenHBand="0" w:firstRowFirstColumn="0" w:firstRowLastColumn="0" w:lastRowFirstColumn="0" w:lastRowLastColumn="0"/>
            <w:tcW w:w="945" w:type="dxa"/>
            <w:tcMar/>
          </w:tcPr>
          <w:p w:rsidR="5177652B" w:rsidP="4046C1BA" w:rsidRDefault="5177652B" w14:paraId="000EB31E" w14:textId="18355339">
            <w:pPr>
              <w:pStyle w:val="Normal"/>
              <w:jc w:val="center"/>
              <w:rPr>
                <w:rFonts w:ascii="Calibri" w:hAnsi="Calibri" w:eastAsia="Calibri" w:cs="Calibri"/>
                <w:color w:val="000000" w:themeColor="text1" w:themeTint="FF" w:themeShade="FF"/>
                <w:sz w:val="24"/>
                <w:szCs w:val="24"/>
              </w:rPr>
            </w:pPr>
            <w:r w:rsidRPr="4046C1BA" w:rsidR="5177652B">
              <w:rPr>
                <w:rFonts w:ascii="Calibri" w:hAnsi="Calibri" w:eastAsia="Calibri" w:cs="Calibri"/>
                <w:color w:val="000000" w:themeColor="text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4046C1BA" w:rsidP="4046C1BA" w:rsidRDefault="4046C1BA" w14:paraId="1C73A547" w14:textId="62C00A52">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4046C1BA" w:rsidP="4046C1BA" w:rsidRDefault="4046C1BA" w14:paraId="53F8BE12" w14:textId="744DDC3F">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4046C1BA" w:rsidP="4046C1BA" w:rsidRDefault="4046C1BA" w14:paraId="043D5A85" w14:textId="4CA8F2F5">
            <w:pPr>
              <w:pStyle w:val="Normal"/>
              <w:jc w:val="center"/>
              <w:rPr>
                <w:rFonts w:ascii="Calibri" w:hAnsi="Calibri" w:eastAsia="Calibri" w:cs="Calibri"/>
                <w:color w:val="000000" w:themeColor="text1" w:themeTint="FF" w:themeShade="FF"/>
                <w:sz w:val="24"/>
                <w:szCs w:val="24"/>
              </w:rPr>
            </w:pPr>
          </w:p>
        </w:tc>
      </w:tr>
      <w:tr w:rsidR="59D368C5" w:rsidTr="4D48ADA2" w14:paraId="22744158" w14:textId="77777777">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59D368C5" w:rsidP="59D368C5" w:rsidRDefault="005366F1" w14:paraId="0753D77D" w14:textId="2EE4953C">
            <w:pPr>
              <w:rPr>
                <w:rFonts w:ascii="Calibri" w:hAnsi="Calibri" w:eastAsia="Calibri" w:cs="Calibri"/>
                <w:b w:val="0"/>
                <w:bCs w:val="0"/>
                <w:color w:val="000000" w:themeColor="text1"/>
                <w:sz w:val="24"/>
                <w:szCs w:val="24"/>
              </w:rPr>
            </w:pPr>
            <w:r>
              <w:rPr>
                <w:rFonts w:ascii="Calibri" w:hAnsi="Calibri" w:eastAsia="Calibri" w:cs="Calibri"/>
                <w:b w:val="0"/>
                <w:bCs w:val="0"/>
                <w:color w:val="000000" w:themeColor="text1"/>
                <w:sz w:val="24"/>
                <w:szCs w:val="24"/>
              </w:rPr>
              <w:t>ENGLISH 102</w:t>
            </w:r>
          </w:p>
        </w:tc>
        <w:tc>
          <w:tcPr>
            <w:cnfStyle w:val="000000000000" w:firstRow="0" w:lastRow="0" w:firstColumn="0" w:lastColumn="0" w:oddVBand="0" w:evenVBand="0" w:oddHBand="0" w:evenHBand="0" w:firstRowFirstColumn="0" w:firstRowLastColumn="0" w:lastRowFirstColumn="0" w:lastRowLastColumn="0"/>
            <w:tcW w:w="5700" w:type="dxa"/>
            <w:tcMar/>
          </w:tcPr>
          <w:p w:rsidR="59D368C5" w:rsidP="59D368C5" w:rsidRDefault="59D368C5" w14:paraId="3FD4527C" w14:textId="1AFD044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D48ADA2" w:rsidR="2619D50E">
              <w:rPr>
                <w:rFonts w:ascii="Calibri" w:hAnsi="Calibri" w:eastAsia="Calibri" w:cs="Calibri"/>
                <w:color w:val="000000" w:themeColor="text1" w:themeTint="FF" w:themeShade="FF"/>
                <w:sz w:val="24"/>
                <w:szCs w:val="24"/>
              </w:rPr>
              <w:t>Reading and Composition II</w:t>
            </w:r>
          </w:p>
        </w:tc>
        <w:tc>
          <w:tcPr>
            <w:cnfStyle w:val="000000000000" w:firstRow="0" w:lastRow="0" w:firstColumn="0" w:lastColumn="0" w:oddVBand="0" w:evenVBand="0" w:oddHBand="0" w:evenHBand="0" w:firstRowFirstColumn="0" w:firstRowLastColumn="0" w:lastRowFirstColumn="0" w:lastRowLastColumn="0"/>
            <w:tcW w:w="945" w:type="dxa"/>
            <w:tcMar/>
          </w:tcPr>
          <w:p w:rsidR="59D368C5" w:rsidP="59D368C5" w:rsidRDefault="59D368C5" w14:paraId="790B876E" w14:textId="2B355C7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59D368C5">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59D368C5" w:rsidP="59D368C5" w:rsidRDefault="59D368C5" w14:paraId="79B24EDA" w14:textId="1D0F477A">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59D368C5" w:rsidP="59D368C5" w:rsidRDefault="59D368C5" w14:paraId="63BE66A1" w14:textId="5F0181C5">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59D368C5" w:rsidP="59D368C5" w:rsidRDefault="59D368C5" w14:paraId="2196E260" w14:textId="1F43AE28">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r w:rsidR="59D368C5" w:rsidTr="4D48ADA2" w14:paraId="746C08B4" w14:textId="77777777">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59D368C5" w:rsidP="59D368C5" w:rsidRDefault="005366F1" w14:paraId="29CA4BE6" w14:textId="570B338A">
            <w:pPr>
              <w:rPr>
                <w:rFonts w:ascii="Calibri" w:hAnsi="Calibri" w:eastAsia="Calibri" w:cs="Calibri"/>
                <w:b w:val="0"/>
                <w:bCs w:val="0"/>
                <w:color w:val="000000" w:themeColor="text1"/>
                <w:sz w:val="24"/>
                <w:szCs w:val="24"/>
              </w:rPr>
            </w:pPr>
            <w:r>
              <w:rPr>
                <w:rFonts w:ascii="Calibri" w:hAnsi="Calibri" w:eastAsia="Calibri" w:cs="Calibri"/>
                <w:b w:val="0"/>
                <w:bCs w:val="0"/>
                <w:color w:val="000000" w:themeColor="text1"/>
                <w:sz w:val="24"/>
                <w:szCs w:val="24"/>
              </w:rPr>
              <w:t>ENGLISH 103</w:t>
            </w:r>
          </w:p>
        </w:tc>
        <w:tc>
          <w:tcPr>
            <w:cnfStyle w:val="000000000000" w:firstRow="0" w:lastRow="0" w:firstColumn="0" w:lastColumn="0" w:oddVBand="0" w:evenVBand="0" w:oddHBand="0" w:evenHBand="0" w:firstRowFirstColumn="0" w:firstRowLastColumn="0" w:lastRowFirstColumn="0" w:lastRowLastColumn="0"/>
            <w:tcW w:w="5700" w:type="dxa"/>
            <w:tcMar/>
          </w:tcPr>
          <w:p w:rsidR="59D368C5" w:rsidP="59D368C5" w:rsidRDefault="59D368C5" w14:paraId="4CAD3E0B" w14:textId="4097C7A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D48ADA2" w:rsidR="747F85B7">
              <w:rPr>
                <w:rFonts w:ascii="Calibri" w:hAnsi="Calibri" w:eastAsia="Calibri" w:cs="Calibri"/>
                <w:color w:val="000000" w:themeColor="text1" w:themeTint="FF" w:themeShade="FF"/>
                <w:sz w:val="24"/>
                <w:szCs w:val="24"/>
              </w:rPr>
              <w:t>Composition and Critical Thinking</w:t>
            </w:r>
          </w:p>
        </w:tc>
        <w:tc>
          <w:tcPr>
            <w:cnfStyle w:val="000000000000" w:firstRow="0" w:lastRow="0" w:firstColumn="0" w:lastColumn="0" w:oddVBand="0" w:evenVBand="0" w:oddHBand="0" w:evenHBand="0" w:firstRowFirstColumn="0" w:firstRowLastColumn="0" w:lastRowFirstColumn="0" w:lastRowLastColumn="0"/>
            <w:tcW w:w="945" w:type="dxa"/>
            <w:tcMar/>
          </w:tcPr>
          <w:p w:rsidR="59D368C5" w:rsidP="59D368C5" w:rsidRDefault="59D368C5" w14:paraId="1227AB65" w14:textId="0CAD722E">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59D368C5">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59D368C5" w:rsidP="59D368C5" w:rsidRDefault="59D368C5" w14:paraId="28878062" w14:textId="3DA1FA0F">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59D368C5" w:rsidP="59D368C5" w:rsidRDefault="59D368C5" w14:paraId="662CE288" w14:textId="6160CD99">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59D368C5" w:rsidP="59D368C5" w:rsidRDefault="59D368C5" w14:paraId="52A6CC45" w14:textId="256B4BB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r w:rsidR="4046C1BA" w:rsidTr="4D48ADA2" w14:paraId="22BEAE03">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675324DA" w:rsidP="4046C1BA" w:rsidRDefault="675324DA" w14:paraId="632A4F21" w14:textId="065526A8">
            <w:pPr>
              <w:pStyle w:val="Normal"/>
              <w:rPr>
                <w:rFonts w:ascii="Calibri" w:hAnsi="Calibri" w:eastAsia="Calibri" w:cs="Calibri"/>
                <w:b w:val="0"/>
                <w:bCs w:val="0"/>
                <w:color w:val="000000" w:themeColor="text1" w:themeTint="FF" w:themeShade="FF"/>
                <w:sz w:val="24"/>
                <w:szCs w:val="24"/>
              </w:rPr>
            </w:pPr>
            <w:r w:rsidRPr="4046C1BA" w:rsidR="675324DA">
              <w:rPr>
                <w:rFonts w:ascii="Calibri" w:hAnsi="Calibri" w:eastAsia="Calibri" w:cs="Calibri"/>
                <w:b w:val="0"/>
                <w:bCs w:val="0"/>
                <w:color w:val="000000" w:themeColor="text1" w:themeTint="FF" w:themeShade="FF"/>
                <w:sz w:val="24"/>
                <w:szCs w:val="24"/>
              </w:rPr>
              <w:t>JOURNAL 101</w:t>
            </w:r>
          </w:p>
        </w:tc>
        <w:tc>
          <w:tcPr>
            <w:cnfStyle w:val="000000000000" w:firstRow="0" w:lastRow="0" w:firstColumn="0" w:lastColumn="0" w:oddVBand="0" w:evenVBand="0" w:oddHBand="0" w:evenHBand="0" w:firstRowFirstColumn="0" w:firstRowLastColumn="0" w:lastRowFirstColumn="0" w:lastRowLastColumn="0"/>
            <w:tcW w:w="5700" w:type="dxa"/>
            <w:tcMar/>
          </w:tcPr>
          <w:p w:rsidR="675324DA" w:rsidP="4046C1BA" w:rsidRDefault="675324DA" w14:paraId="062764D4" w14:textId="0B06C0B9">
            <w:pPr>
              <w:pStyle w:val="Normal"/>
              <w:rPr>
                <w:rFonts w:ascii="Calibri" w:hAnsi="Calibri" w:eastAsia="Calibri" w:cs="Calibri"/>
                <w:color w:val="000000" w:themeColor="text1" w:themeTint="FF" w:themeShade="FF"/>
                <w:sz w:val="24"/>
                <w:szCs w:val="24"/>
              </w:rPr>
            </w:pPr>
            <w:r w:rsidRPr="4046C1BA" w:rsidR="675324DA">
              <w:rPr>
                <w:rFonts w:ascii="Calibri" w:hAnsi="Calibri" w:eastAsia="Calibri" w:cs="Calibri"/>
                <w:color w:val="000000" w:themeColor="text1" w:themeTint="FF" w:themeShade="FF"/>
                <w:sz w:val="24"/>
                <w:szCs w:val="24"/>
              </w:rPr>
              <w:t>Collecting and Writing News</w:t>
            </w:r>
          </w:p>
        </w:tc>
        <w:tc>
          <w:tcPr>
            <w:cnfStyle w:val="000000000000" w:firstRow="0" w:lastRow="0" w:firstColumn="0" w:lastColumn="0" w:oddVBand="0" w:evenVBand="0" w:oddHBand="0" w:evenHBand="0" w:firstRowFirstColumn="0" w:firstRowLastColumn="0" w:lastRowFirstColumn="0" w:lastRowLastColumn="0"/>
            <w:tcW w:w="945" w:type="dxa"/>
            <w:tcMar/>
          </w:tcPr>
          <w:p w:rsidR="675324DA" w:rsidP="4046C1BA" w:rsidRDefault="675324DA" w14:paraId="0D672E6B" w14:textId="1F7E3F83">
            <w:pPr>
              <w:pStyle w:val="Normal"/>
              <w:jc w:val="center"/>
              <w:rPr>
                <w:rFonts w:ascii="Calibri" w:hAnsi="Calibri" w:eastAsia="Calibri" w:cs="Calibri"/>
                <w:color w:val="000000" w:themeColor="text1" w:themeTint="FF" w:themeShade="FF"/>
                <w:sz w:val="24"/>
                <w:szCs w:val="24"/>
              </w:rPr>
            </w:pPr>
            <w:r w:rsidRPr="4046C1BA" w:rsidR="675324DA">
              <w:rPr>
                <w:rFonts w:ascii="Calibri" w:hAnsi="Calibri" w:eastAsia="Calibri" w:cs="Calibri"/>
                <w:color w:val="000000" w:themeColor="text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4046C1BA" w:rsidP="4046C1BA" w:rsidRDefault="4046C1BA" w14:paraId="1CA65B51" w14:textId="5355E4A1">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4046C1BA" w:rsidP="4046C1BA" w:rsidRDefault="4046C1BA" w14:paraId="65B70C13" w14:textId="3A101FC2">
            <w:pPr>
              <w:pStyle w:val="Normal"/>
              <w:jc w:val="center"/>
              <w:rPr>
                <w:rFonts w:ascii="Calibri" w:hAnsi="Calibri" w:eastAsia="Calibri" w:cs="Calibri"/>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4046C1BA" w:rsidP="4046C1BA" w:rsidRDefault="4046C1BA" w14:paraId="056D40D5" w14:textId="3F5CD0DE">
            <w:pPr>
              <w:pStyle w:val="Normal"/>
              <w:jc w:val="center"/>
              <w:rPr>
                <w:rFonts w:ascii="Calibri" w:hAnsi="Calibri" w:eastAsia="Calibri" w:cs="Calibri"/>
                <w:color w:val="000000" w:themeColor="text1" w:themeTint="FF" w:themeShade="FF"/>
                <w:sz w:val="24"/>
                <w:szCs w:val="24"/>
              </w:rPr>
            </w:pPr>
          </w:p>
        </w:tc>
      </w:tr>
      <w:tr w:rsidR="003732E7" w:rsidTr="4D48ADA2" w14:paraId="12A3CFE4" w14:textId="77777777">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Pr="005366F1" w:rsidR="003732E7" w:rsidP="59D368C5" w:rsidRDefault="005366F1" w14:paraId="3CB5D124" w14:textId="765C9575">
            <w:pPr>
              <w:rPr>
                <w:rFonts w:ascii="Calibri" w:hAnsi="Calibri" w:eastAsia="Calibri" w:cs="Calibri"/>
                <w:b w:val="0"/>
                <w:color w:val="000000" w:themeColor="text1"/>
                <w:sz w:val="24"/>
                <w:szCs w:val="24"/>
              </w:rPr>
            </w:pPr>
            <w:r>
              <w:rPr>
                <w:rFonts w:ascii="Calibri" w:hAnsi="Calibri" w:eastAsia="Calibri" w:cs="Calibri"/>
                <w:b w:val="0"/>
                <w:color w:val="000000" w:themeColor="text1"/>
                <w:sz w:val="24"/>
                <w:szCs w:val="24"/>
              </w:rPr>
              <w:t>PSYCH 001</w:t>
            </w:r>
          </w:p>
        </w:tc>
        <w:tc>
          <w:tcPr>
            <w:cnfStyle w:val="000000000000" w:firstRow="0" w:lastRow="0" w:firstColumn="0" w:lastColumn="0" w:oddVBand="0" w:evenVBand="0" w:oddHBand="0" w:evenHBand="0" w:firstRowFirstColumn="0" w:firstRowLastColumn="0" w:lastRowFirstColumn="0" w:lastRowLastColumn="0"/>
            <w:tcW w:w="5700" w:type="dxa"/>
            <w:tcMar/>
          </w:tcPr>
          <w:p w:rsidRPr="59D368C5" w:rsidR="003732E7" w:rsidP="59D368C5" w:rsidRDefault="005366F1" w14:paraId="262529F9" w14:textId="0E977EE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General Psychology I</w:t>
            </w:r>
          </w:p>
        </w:tc>
        <w:tc>
          <w:tcPr>
            <w:cnfStyle w:val="000000000000" w:firstRow="0" w:lastRow="0" w:firstColumn="0" w:lastColumn="0" w:oddVBand="0" w:evenVBand="0" w:oddHBand="0" w:evenHBand="0" w:firstRowFirstColumn="0" w:firstRowLastColumn="0" w:lastRowFirstColumn="0" w:lastRowLastColumn="0"/>
            <w:tcW w:w="945" w:type="dxa"/>
            <w:tcMar/>
          </w:tcPr>
          <w:p w:rsidRPr="59D368C5" w:rsidR="003732E7" w:rsidP="59D368C5" w:rsidRDefault="005366F1" w14:paraId="7AC7EB67" w14:textId="5C7A6592">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003732E7" w:rsidP="59D368C5" w:rsidRDefault="003732E7" w14:paraId="629EC63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003732E7" w:rsidP="59D368C5" w:rsidRDefault="003732E7" w14:paraId="002789F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003732E7" w:rsidP="59D368C5" w:rsidRDefault="003732E7" w14:paraId="07E5B6D5"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r w:rsidR="003732E7" w:rsidTr="4D48ADA2" w14:paraId="753C2752" w14:textId="77777777">
        <w:trPr>
          <w:trHeight w:val="300"/>
        </w:trPr>
        <w:tc>
          <w:tcPr>
            <w:cnfStyle w:val="001000000000" w:firstRow="0" w:lastRow="0" w:firstColumn="1" w:lastColumn="0" w:oddVBand="0" w:evenVBand="0" w:oddHBand="0" w:evenHBand="0" w:firstRowFirstColumn="0" w:firstRowLastColumn="0" w:lastRowFirstColumn="0" w:lastRowLastColumn="0"/>
            <w:tcW w:w="2325" w:type="dxa"/>
            <w:tcMar/>
          </w:tcPr>
          <w:p w:rsidRPr="005366F1" w:rsidR="003732E7" w:rsidP="59D368C5" w:rsidRDefault="005366F1" w14:paraId="3F270309" w14:textId="77FEBA06">
            <w:pPr>
              <w:rPr>
                <w:rFonts w:ascii="Calibri" w:hAnsi="Calibri" w:eastAsia="Calibri" w:cs="Calibri"/>
                <w:b w:val="0"/>
                <w:color w:val="000000" w:themeColor="text1"/>
                <w:sz w:val="24"/>
                <w:szCs w:val="24"/>
              </w:rPr>
            </w:pPr>
            <w:r>
              <w:rPr>
                <w:rFonts w:ascii="Calibri" w:hAnsi="Calibri" w:eastAsia="Calibri" w:cs="Calibri"/>
                <w:b w:val="0"/>
                <w:color w:val="000000" w:themeColor="text1"/>
                <w:sz w:val="24"/>
                <w:szCs w:val="24"/>
              </w:rPr>
              <w:t>SOC 001</w:t>
            </w:r>
          </w:p>
        </w:tc>
        <w:tc>
          <w:tcPr>
            <w:cnfStyle w:val="000000000000" w:firstRow="0" w:lastRow="0" w:firstColumn="0" w:lastColumn="0" w:oddVBand="0" w:evenVBand="0" w:oddHBand="0" w:evenHBand="0" w:firstRowFirstColumn="0" w:firstRowLastColumn="0" w:lastRowFirstColumn="0" w:lastRowLastColumn="0"/>
            <w:tcW w:w="5700" w:type="dxa"/>
            <w:tcMar/>
          </w:tcPr>
          <w:p w:rsidRPr="59D368C5" w:rsidR="003732E7" w:rsidP="59D368C5" w:rsidRDefault="005366F1" w14:paraId="56AC39C6" w14:textId="23B471B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Introduction to Sociology</w:t>
            </w:r>
          </w:p>
        </w:tc>
        <w:tc>
          <w:tcPr>
            <w:cnfStyle w:val="000000000000" w:firstRow="0" w:lastRow="0" w:firstColumn="0" w:lastColumn="0" w:oddVBand="0" w:evenVBand="0" w:oddHBand="0" w:evenHBand="0" w:firstRowFirstColumn="0" w:firstRowLastColumn="0" w:lastRowFirstColumn="0" w:lastRowLastColumn="0"/>
            <w:tcW w:w="945" w:type="dxa"/>
            <w:tcMar/>
          </w:tcPr>
          <w:p w:rsidRPr="59D368C5" w:rsidR="003732E7" w:rsidP="59D368C5" w:rsidRDefault="005366F1" w14:paraId="2831420A" w14:textId="5E977CCF">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Pr>
                <w:rFonts w:ascii="Calibri" w:hAnsi="Calibri" w:eastAsia="Calibri" w:cs="Calibri"/>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1185" w:type="dxa"/>
            <w:tcMar/>
          </w:tcPr>
          <w:p w:rsidR="003732E7" w:rsidP="59D368C5" w:rsidRDefault="003732E7" w14:paraId="04BF3CB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795" w:type="dxa"/>
            <w:tcMar/>
          </w:tcPr>
          <w:p w:rsidR="003732E7" w:rsidP="59D368C5" w:rsidRDefault="003732E7" w14:paraId="378841F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tcPr>
          <w:p w:rsidR="003732E7" w:rsidP="59D368C5" w:rsidRDefault="003732E7" w14:paraId="0156AD1F"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p>
        </w:tc>
      </w:tr>
    </w:tbl>
    <w:p w:rsidR="16E8083B" w:rsidP="59D368C5" w:rsidRDefault="16E8083B" w14:paraId="3E222CF2" w14:textId="1B7BD580">
      <w:pPr>
        <w:rPr>
          <w:rFonts w:ascii="Times New Roman" w:hAnsi="Times New Roman" w:eastAsia="Times New Roman" w:cs="Times New Roman"/>
          <w:color w:val="000000" w:themeColor="text1"/>
          <w:sz w:val="20"/>
          <w:szCs w:val="20"/>
        </w:rPr>
      </w:pPr>
      <w:r w:rsidRPr="59D368C5">
        <w:rPr>
          <w:rFonts w:ascii="Times New Roman" w:hAnsi="Times New Roman" w:eastAsia="Times New Roman" w:cs="Times New Roman"/>
          <w:b/>
          <w:bCs/>
          <w:i/>
          <w:iCs/>
          <w:color w:val="000000" w:themeColor="text1"/>
          <w:sz w:val="20"/>
          <w:szCs w:val="20"/>
        </w:rPr>
        <w:t xml:space="preserve">       </w:t>
      </w:r>
    </w:p>
    <w:p w:rsidRPr="002A5F8D" w:rsidR="16E8083B" w:rsidP="59D368C5" w:rsidRDefault="16E8083B" w14:paraId="4040D515" w14:textId="773FA21B">
      <w:pPr>
        <w:rPr>
          <w:rFonts w:ascii="Calibri" w:hAnsi="Calibri" w:eastAsia="Calibri" w:cs="Calibri"/>
          <w:b/>
          <w:bCs/>
          <w:color w:val="000000" w:themeColor="text1"/>
          <w:sz w:val="24"/>
          <w:szCs w:val="24"/>
        </w:rPr>
      </w:pPr>
      <w:r w:rsidRPr="002A5F8D">
        <w:rPr>
          <w:rFonts w:ascii="Calibri" w:hAnsi="Calibri" w:eastAsia="Calibri" w:cs="Calibri"/>
          <w:b/>
          <w:bCs/>
          <w:color w:val="000000" w:themeColor="text1"/>
          <w:sz w:val="24"/>
          <w:szCs w:val="24"/>
        </w:rPr>
        <w:t>Total units for the Major:  18</w:t>
      </w:r>
    </w:p>
    <w:p w:rsidR="59D368C5" w:rsidP="59D368C5" w:rsidRDefault="59D368C5" w14:paraId="7A73D69C" w14:textId="3B118081">
      <w:pPr>
        <w:rPr>
          <w:rFonts w:eastAsiaTheme="minorEastAsia"/>
          <w:sz w:val="24"/>
          <w:szCs w:val="24"/>
        </w:rPr>
      </w:pPr>
    </w:p>
    <w:sectPr w:rsidR="59D368C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8D" w:rsidRDefault="002A5F8D" w14:paraId="00ADAF1A" w14:textId="77777777">
      <w:pPr>
        <w:spacing w:after="0" w:line="240" w:lineRule="auto"/>
      </w:pPr>
      <w:r>
        <w:separator/>
      </w:r>
    </w:p>
  </w:endnote>
  <w:endnote w:type="continuationSeparator" w:id="0">
    <w:p w:rsidR="002A5F8D" w:rsidRDefault="002A5F8D" w14:paraId="381FA804" w14:textId="77777777">
      <w:pPr>
        <w:spacing w:after="0" w:line="240" w:lineRule="auto"/>
      </w:pPr>
      <w:r>
        <w:continuationSeparator/>
      </w:r>
    </w:p>
  </w:endnote>
  <w:endnote w:type="continuationNotice" w:id="1">
    <w:p w:rsidR="007D3364" w:rsidRDefault="007D3364" w14:paraId="1F6ED2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9D368C5" w:rsidP="0060248C" w:rsidRDefault="1B51903B" w14:paraId="5621454D" w14:textId="7DA20DDE">
    <w:pPr>
      <w:pStyle w:val="Footer"/>
      <w:tabs>
        <w:tab w:val="center" w:pos="4320"/>
        <w:tab w:val="right" w:pos="8640"/>
      </w:tabs>
      <w:jc w:val="right"/>
      <w:rPr>
        <w:rFonts w:ascii="Times New Roman" w:hAnsi="Times New Roman" w:eastAsia="Times New Roman" w:cs="Times New Roman"/>
        <w:color w:val="000000" w:themeColor="text1"/>
        <w:sz w:val="18"/>
        <w:szCs w:val="18"/>
      </w:rPr>
    </w:pPr>
    <w:r w:rsidRPr="4046C1BA" w:rsidR="4046C1BA">
      <w:rPr>
        <w:rFonts w:ascii="Times New Roman" w:hAnsi="Times New Roman" w:eastAsia="Times New Roman" w:cs="Times New Roman"/>
        <w:color w:val="000000" w:themeColor="text1" w:themeTint="FF" w:themeShade="FF"/>
        <w:sz w:val="18"/>
        <w:szCs w:val="18"/>
      </w:rPr>
      <w:t>Articulation Office 2</w:t>
    </w:r>
    <w:r w:rsidRPr="4046C1BA" w:rsidR="4046C1BA">
      <w:rPr>
        <w:rFonts w:ascii="Times New Roman" w:hAnsi="Times New Roman" w:eastAsia="Times New Roman" w:cs="Times New Roman"/>
        <w:color w:val="000000" w:themeColor="text1" w:themeTint="FF" w:themeShade="FF"/>
        <w:sz w:val="18"/>
        <w:szCs w:val="18"/>
      </w:rPr>
      <w:t>4</w:t>
    </w:r>
    <w:r w:rsidRPr="4046C1BA" w:rsidR="4046C1BA">
      <w:rPr>
        <w:rFonts w:ascii="Times New Roman" w:hAnsi="Times New Roman" w:eastAsia="Times New Roman" w:cs="Times New Roman"/>
        <w:color w:val="000000" w:themeColor="text1" w:themeTint="FF" w:themeShade="FF"/>
        <w:sz w:val="18"/>
        <w:szCs w:val="18"/>
      </w:rPr>
      <w:t>-2</w:t>
    </w:r>
    <w:r w:rsidRPr="4046C1BA" w:rsidR="4046C1BA">
      <w:rPr>
        <w:rFonts w:ascii="Times New Roman" w:hAnsi="Times New Roman" w:eastAsia="Times New Roman" w:cs="Times New Roman"/>
        <w:color w:val="000000" w:themeColor="text1" w:themeTint="FF" w:themeShade="F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8D" w:rsidRDefault="002A5F8D" w14:paraId="3D4723F6" w14:textId="77777777">
      <w:pPr>
        <w:spacing w:after="0" w:line="240" w:lineRule="auto"/>
      </w:pPr>
      <w:r>
        <w:separator/>
      </w:r>
    </w:p>
  </w:footnote>
  <w:footnote w:type="continuationSeparator" w:id="0">
    <w:p w:rsidR="002A5F8D" w:rsidRDefault="002A5F8D" w14:paraId="1C3EF615" w14:textId="77777777">
      <w:pPr>
        <w:spacing w:after="0" w:line="240" w:lineRule="auto"/>
      </w:pPr>
      <w:r>
        <w:continuationSeparator/>
      </w:r>
    </w:p>
  </w:footnote>
  <w:footnote w:type="continuationNotice" w:id="1">
    <w:p w:rsidR="007D3364" w:rsidRDefault="007D3364" w14:paraId="6B11E9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9D368C5" w:rsidP="59D368C5" w:rsidRDefault="59D368C5" w14:paraId="6F710B0F" w14:textId="021807DD">
    <w:pPr>
      <w:tabs>
        <w:tab w:val="center" w:pos="4320"/>
        <w:tab w:val="right" w:pos="8640"/>
      </w:tabs>
      <w:ind w:firstLine="1440"/>
      <w:rPr>
        <w:rFonts w:ascii="Times New Roman" w:hAnsi="Times New Roman" w:eastAsia="Times New Roman" w:cs="Times New Roman"/>
        <w:color w:val="000000" w:themeColor="text1"/>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oDSQ3VUd" int2:invalidationBookmarkName="" int2:hashCode="vE4BsRxIwQEbP8" int2:id="4ese3wnr">
      <int2:state int2:value="Rejected" int2:type="AugLoop_Text_Critique"/>
    </int2:bookmark>
    <int2:bookmark int2:bookmarkName="_Int_j1ciDGDC" int2:invalidationBookmarkName="" int2:hashCode="AL4Eqc2U5j1sCB" int2:id="NCBePWWA">
      <int2:state int2:value="Rejected" int2:type="AugLoop_Text_Critique"/>
    </int2:bookmark>
    <int2:bookmark int2:bookmarkName="_Int_YX8E0hWj" int2:invalidationBookmarkName="" int2:hashCode="Xtw9NKkMsSv9WE" int2:id="Uo6bBgA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8F41"/>
    <w:multiLevelType w:val="hybridMultilevel"/>
    <w:tmpl w:val="01BC0930"/>
    <w:lvl w:ilvl="0" w:tplc="BE30DC02">
      <w:start w:val="1"/>
      <w:numFmt w:val="decimal"/>
      <w:lvlText w:val="%1."/>
      <w:lvlJc w:val="left"/>
      <w:pPr>
        <w:ind w:left="720" w:hanging="360"/>
      </w:pPr>
    </w:lvl>
    <w:lvl w:ilvl="1" w:tplc="BD6693E6">
      <w:start w:val="1"/>
      <w:numFmt w:val="lowerLetter"/>
      <w:lvlText w:val="%2."/>
      <w:lvlJc w:val="left"/>
      <w:pPr>
        <w:ind w:left="1440" w:hanging="360"/>
      </w:pPr>
    </w:lvl>
    <w:lvl w:ilvl="2" w:tplc="4C98F1C6">
      <w:start w:val="1"/>
      <w:numFmt w:val="lowerRoman"/>
      <w:lvlText w:val="%3."/>
      <w:lvlJc w:val="right"/>
      <w:pPr>
        <w:ind w:left="2160" w:hanging="180"/>
      </w:pPr>
    </w:lvl>
    <w:lvl w:ilvl="3" w:tplc="C510AFFA">
      <w:start w:val="1"/>
      <w:numFmt w:val="decimal"/>
      <w:lvlText w:val="%4."/>
      <w:lvlJc w:val="left"/>
      <w:pPr>
        <w:ind w:left="2880" w:hanging="360"/>
      </w:pPr>
    </w:lvl>
    <w:lvl w:ilvl="4" w:tplc="A9B64F5A">
      <w:start w:val="1"/>
      <w:numFmt w:val="lowerLetter"/>
      <w:lvlText w:val="%5."/>
      <w:lvlJc w:val="left"/>
      <w:pPr>
        <w:ind w:left="3600" w:hanging="360"/>
      </w:pPr>
    </w:lvl>
    <w:lvl w:ilvl="5" w:tplc="90942A5A">
      <w:start w:val="1"/>
      <w:numFmt w:val="lowerRoman"/>
      <w:lvlText w:val="%6."/>
      <w:lvlJc w:val="right"/>
      <w:pPr>
        <w:ind w:left="4320" w:hanging="180"/>
      </w:pPr>
    </w:lvl>
    <w:lvl w:ilvl="6" w:tplc="09AC7726">
      <w:start w:val="1"/>
      <w:numFmt w:val="decimal"/>
      <w:lvlText w:val="%7."/>
      <w:lvlJc w:val="left"/>
      <w:pPr>
        <w:ind w:left="5040" w:hanging="360"/>
      </w:pPr>
    </w:lvl>
    <w:lvl w:ilvl="7" w:tplc="7CECE5F2">
      <w:start w:val="1"/>
      <w:numFmt w:val="lowerLetter"/>
      <w:lvlText w:val="%8."/>
      <w:lvlJc w:val="left"/>
      <w:pPr>
        <w:ind w:left="5760" w:hanging="360"/>
      </w:pPr>
    </w:lvl>
    <w:lvl w:ilvl="8" w:tplc="1D86F6A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439A7"/>
    <w:rsid w:val="000F301F"/>
    <w:rsid w:val="00280E80"/>
    <w:rsid w:val="002A5F8D"/>
    <w:rsid w:val="003732E7"/>
    <w:rsid w:val="00404F6F"/>
    <w:rsid w:val="004A07E9"/>
    <w:rsid w:val="005366F1"/>
    <w:rsid w:val="005E421F"/>
    <w:rsid w:val="005F2FE9"/>
    <w:rsid w:val="0060248C"/>
    <w:rsid w:val="0071023F"/>
    <w:rsid w:val="00781482"/>
    <w:rsid w:val="0079841C"/>
    <w:rsid w:val="007D3364"/>
    <w:rsid w:val="0081447A"/>
    <w:rsid w:val="008517D0"/>
    <w:rsid w:val="00910365"/>
    <w:rsid w:val="00C067C8"/>
    <w:rsid w:val="00CA6405"/>
    <w:rsid w:val="00E114CC"/>
    <w:rsid w:val="00F608E2"/>
    <w:rsid w:val="00F95738"/>
    <w:rsid w:val="00FA78DB"/>
    <w:rsid w:val="0268EC23"/>
    <w:rsid w:val="03A5FF0B"/>
    <w:rsid w:val="05989F5F"/>
    <w:rsid w:val="061B7184"/>
    <w:rsid w:val="068C6252"/>
    <w:rsid w:val="07346FC0"/>
    <w:rsid w:val="08D82DA7"/>
    <w:rsid w:val="113BEF30"/>
    <w:rsid w:val="11DA4B17"/>
    <w:rsid w:val="1227E140"/>
    <w:rsid w:val="14516EF4"/>
    <w:rsid w:val="16E8083B"/>
    <w:rsid w:val="1B26513E"/>
    <w:rsid w:val="1B51903B"/>
    <w:rsid w:val="1E9C5D2A"/>
    <w:rsid w:val="201B4374"/>
    <w:rsid w:val="2247A945"/>
    <w:rsid w:val="23D63E64"/>
    <w:rsid w:val="25A081F1"/>
    <w:rsid w:val="2619D50E"/>
    <w:rsid w:val="2A43DD84"/>
    <w:rsid w:val="2B08B8F0"/>
    <w:rsid w:val="2E1439A7"/>
    <w:rsid w:val="2E53A4D3"/>
    <w:rsid w:val="2F355319"/>
    <w:rsid w:val="3128EBEB"/>
    <w:rsid w:val="31D8E6DF"/>
    <w:rsid w:val="3374B740"/>
    <w:rsid w:val="39D86AAB"/>
    <w:rsid w:val="39F5339B"/>
    <w:rsid w:val="3C6B9E92"/>
    <w:rsid w:val="3FBC67B1"/>
    <w:rsid w:val="4046C1BA"/>
    <w:rsid w:val="415EA5E2"/>
    <w:rsid w:val="43BA9AFE"/>
    <w:rsid w:val="43C9E530"/>
    <w:rsid w:val="47AE5139"/>
    <w:rsid w:val="4AA2061D"/>
    <w:rsid w:val="4AEDDF81"/>
    <w:rsid w:val="4D48ADA2"/>
    <w:rsid w:val="4DB48F75"/>
    <w:rsid w:val="4E0C57E6"/>
    <w:rsid w:val="4FE8D1AB"/>
    <w:rsid w:val="5177652B"/>
    <w:rsid w:val="522FCE15"/>
    <w:rsid w:val="53E4C6D3"/>
    <w:rsid w:val="55D8FEA1"/>
    <w:rsid w:val="59D368C5"/>
    <w:rsid w:val="5E12C491"/>
    <w:rsid w:val="5E227BB0"/>
    <w:rsid w:val="5E3BA40D"/>
    <w:rsid w:val="5F1781DD"/>
    <w:rsid w:val="5FCDE8BD"/>
    <w:rsid w:val="605A4693"/>
    <w:rsid w:val="62F5ECD3"/>
    <w:rsid w:val="62F82559"/>
    <w:rsid w:val="65148F59"/>
    <w:rsid w:val="6653DF2A"/>
    <w:rsid w:val="675324DA"/>
    <w:rsid w:val="67D5A4A3"/>
    <w:rsid w:val="67EFD602"/>
    <w:rsid w:val="68A3F88C"/>
    <w:rsid w:val="69082691"/>
    <w:rsid w:val="6A5103C4"/>
    <w:rsid w:val="6BDB994E"/>
    <w:rsid w:val="6CEE659E"/>
    <w:rsid w:val="7264032F"/>
    <w:rsid w:val="747F85B7"/>
    <w:rsid w:val="75101201"/>
    <w:rsid w:val="7852A521"/>
    <w:rsid w:val="799ACE46"/>
    <w:rsid w:val="7A55ECB7"/>
    <w:rsid w:val="7C38F63F"/>
    <w:rsid w:val="7CD75C6E"/>
    <w:rsid w:val="7DA6B5D6"/>
    <w:rsid w:val="7ED982EF"/>
    <w:rsid w:val="7EFEB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39A7"/>
  <w15:chartTrackingRefBased/>
  <w15:docId w15:val="{D50ED90A-9F29-4C8E-B39F-D2B02E48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5E421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E421F"/>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www.calstate.edu/apply/transfer/Pages/associate-degree-for-transfer-major-and-campus-search.aspx" TargetMode="External" Id="Raff5dba562bc46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6</revision>
  <dcterms:created xsi:type="dcterms:W3CDTF">2024-01-31T19:58:00.0000000Z</dcterms:created>
  <dcterms:modified xsi:type="dcterms:W3CDTF">2024-06-22T13:34:16.2387584Z</dcterms:modified>
</coreProperties>
</file>