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13BB" w:rsidR="005913BB" w:rsidP="005913BB" w:rsidRDefault="005913BB" w14:paraId="3861F02A" w14:textId="72ADDAFA">
      <w:pPr>
        <w:pStyle w:val="Title"/>
        <w:rPr>
          <w:sz w:val="32"/>
          <w:szCs w:val="32"/>
        </w:rPr>
      </w:pPr>
      <w:r w:rsidRPr="01C4A3BA" w:rsidR="005913BB">
        <w:rPr>
          <w:sz w:val="32"/>
          <w:szCs w:val="32"/>
        </w:rPr>
        <w:t>Los Angeles Mission College 2</w:t>
      </w:r>
      <w:r w:rsidRPr="01C4A3BA" w:rsidR="424AE263">
        <w:rPr>
          <w:sz w:val="32"/>
          <w:szCs w:val="32"/>
        </w:rPr>
        <w:t>4</w:t>
      </w:r>
      <w:r w:rsidRPr="01C4A3BA" w:rsidR="005913BB">
        <w:rPr>
          <w:sz w:val="32"/>
          <w:szCs w:val="32"/>
        </w:rPr>
        <w:t>-2</w:t>
      </w:r>
      <w:r w:rsidRPr="01C4A3BA" w:rsidR="382A151B">
        <w:rPr>
          <w:sz w:val="32"/>
          <w:szCs w:val="32"/>
        </w:rPr>
        <w:t>5</w:t>
      </w:r>
    </w:p>
    <w:p w:rsidR="005913BB" w:rsidP="005913BB" w:rsidRDefault="005913BB" w14:paraId="20474178" w14:textId="4F5BF0C8">
      <w:pPr>
        <w:pStyle w:val="Title"/>
        <w:rPr>
          <w:sz w:val="32"/>
          <w:szCs w:val="32"/>
        </w:rPr>
      </w:pPr>
      <w:r w:rsidRPr="5AC4DB83" w:rsidR="26DC0220">
        <w:rPr>
          <w:sz w:val="32"/>
          <w:szCs w:val="32"/>
        </w:rPr>
        <w:t>Public Health Science</w:t>
      </w:r>
      <w:r w:rsidRPr="5AC4DB83" w:rsidR="005913BB">
        <w:rPr>
          <w:sz w:val="32"/>
          <w:szCs w:val="32"/>
        </w:rPr>
        <w:t xml:space="preserve"> </w:t>
      </w:r>
      <w:r w:rsidRPr="5AC4DB83" w:rsidR="005913BB">
        <w:rPr>
          <w:sz w:val="32"/>
          <w:szCs w:val="32"/>
        </w:rPr>
        <w:t>Associate Degree</w:t>
      </w:r>
      <w:r w:rsidRPr="5AC4DB83" w:rsidR="005913BB">
        <w:rPr>
          <w:sz w:val="32"/>
          <w:szCs w:val="32"/>
        </w:rPr>
        <w:t xml:space="preserve"> for Transfer (ADT)</w:t>
      </w:r>
    </w:p>
    <w:p w:rsidRPr="005913BB" w:rsidR="005913BB" w:rsidP="005913BB" w:rsidRDefault="005913BB" w14:paraId="59D6AA70" w14:textId="123DCE98">
      <w:pPr>
        <w:pStyle w:val="Heading1"/>
        <w:rPr>
          <w:color w:val="000000" w:themeColor="text1"/>
        </w:rPr>
      </w:pPr>
      <w:r w:rsidRPr="5AC4DB83" w:rsidR="005913BB">
        <w:rPr>
          <w:color w:val="000000" w:themeColor="text1" w:themeTint="FF" w:themeShade="FF"/>
        </w:rPr>
        <w:t xml:space="preserve">ADT: </w:t>
      </w:r>
      <w:r w:rsidRPr="5AC4DB83" w:rsidR="783792F9">
        <w:rPr>
          <w:color w:val="000000" w:themeColor="text1" w:themeTint="FF" w:themeShade="FF"/>
        </w:rPr>
        <w:t>Public Health Science</w:t>
      </w:r>
    </w:p>
    <w:p w:rsidR="005913BB" w:rsidP="2C027622" w:rsidRDefault="005913BB" w14:paraId="0A9EF539" w14:textId="057187FD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2C027622" w:rsidR="08D4C2C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The </w:t>
      </w:r>
      <w:r w:rsidRPr="2C027622" w:rsidR="08D4C2C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Associate in Science</w:t>
      </w:r>
      <w:r w:rsidRPr="2C027622" w:rsidR="08D4C2C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in Public Health Science for Transfer is designed for prospective California State University (CSU) transfer students who are preparing for careers in Public Health. Completion of the Public Health degree will </w:t>
      </w:r>
      <w:r w:rsidRPr="2C027622" w:rsidR="08D4C2C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provide</w:t>
      </w:r>
      <w:r w:rsidRPr="2C027622" w:rsidR="08D4C2C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a streamlined pathway for transfer to a CSU campus in Public Health or a similar major.</w:t>
      </w:r>
    </w:p>
    <w:p w:rsidR="005913BB" w:rsidP="2C027622" w:rsidRDefault="005913BB" w14:paraId="0A96059C" w14:textId="6B49C623">
      <w:pPr>
        <w:pStyle w:val="Normal"/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5913BB" w:rsidR="005913BB" w:rsidP="2C027622" w:rsidRDefault="005913BB" w14:paraId="3434A7E6" w14:textId="55DB7552">
      <w:pPr>
        <w:pStyle w:val="Normal"/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Students who complete this degree will be guaranteed admission with junior status to the California State University system, although not a particular campus or major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.  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Students can use the </w:t>
      </w:r>
      <w:hyperlink r:id="Ra4f47b99abdd49d9">
        <w:r w:rsidRPr="2C027622" w:rsidR="005913B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ADT Search by CSU Campus</w:t>
        </w:r>
      </w:hyperlink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to view which CSU campuses accept ADT degrees in their major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.</w:t>
      </w:r>
    </w:p>
    <w:p w:rsidR="2C027622" w:rsidP="6A772B65" w:rsidRDefault="2C027622" w14:paraId="104CC136" w14:textId="42D37805">
      <w:pPr>
        <w:pStyle w:val="Normal"/>
      </w:pPr>
    </w:p>
    <w:p w:rsidRPr="007A4D5F" w:rsidR="005913BB" w:rsidP="2C027622" w:rsidRDefault="005913BB" w14:paraId="6319EB62" w14:textId="2C5E5C95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0"/>
          <w:szCs w:val="20"/>
        </w:rPr>
      </w:pPr>
      <w:r w:rsidRPr="6A772B65" w:rsidR="005913BB">
        <w:rPr>
          <w:rStyle w:val="Heading2Char"/>
          <w:color w:val="auto"/>
        </w:rPr>
        <w:t>Transfer Requirements</w:t>
      </w:r>
      <w:r w:rsidRPr="6A772B65" w:rsidR="005913BB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 </w:t>
      </w:r>
    </w:p>
    <w:p w:rsidRPr="005913BB" w:rsidR="005913BB" w:rsidP="2C027622" w:rsidRDefault="005913BB" w14:paraId="7467FDB8" w14:textId="77777777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Students receiving this transfer degree must meet the following requirements:</w:t>
      </w:r>
    </w:p>
    <w:p w:rsidRPr="005913BB" w:rsidR="005913BB" w:rsidP="2C027622" w:rsidRDefault="005913BB" w14:paraId="547D63FE" w14:textId="3492C6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Completion of 60 semester units or 90 quarter units that are eligible for transfer to the California State University, including completion of: </w:t>
      </w:r>
    </w:p>
    <w:p w:rsidRPr="005913BB" w:rsidR="005913BB" w:rsidP="2C027622" w:rsidRDefault="005913BB" w14:paraId="6971F3B1" w14:textId="7DC929C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  <w:t>The Intersegmental General Education Transfer Curriculum (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0"/>
          <w:sz w:val="20"/>
          <w:szCs w:val="20"/>
        </w:rPr>
        <w:t>IGETC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  <w:t xml:space="preserve">) 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  <w:t xml:space="preserve">OR 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  <w:t>the California State University General Education (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0"/>
          <w:sz w:val="20"/>
          <w:szCs w:val="20"/>
        </w:rPr>
        <w:t>CSUGE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  <w:t xml:space="preserve">) </w:t>
      </w:r>
    </w:p>
    <w:p w:rsidRPr="005913BB" w:rsidR="005913BB" w:rsidP="2C027622" w:rsidRDefault="005913BB" w14:paraId="539EC722" w14:textId="634E9C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12285A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major coursework listed below with a grade of “C” or better in each course </w:t>
      </w:r>
      <w:r w:rsidRPr="2C027622" w:rsidR="12285A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required</w:t>
      </w:r>
      <w:r w:rsidRPr="2C027622" w:rsidR="12285A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 the major or a grade of “P” if the major course is taken on a “P/NP” basis.</w:t>
      </w: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Pr="005913BB" w:rsidR="005913BB" w:rsidP="2C027622" w:rsidRDefault="005913BB" w14:paraId="0D4A4A88" w14:textId="4DCC55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  <w:r w:rsidRPr="2C027622" w:rsidR="005913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Obtain of a minimum cumulative grade point average of 2.0</w:t>
      </w:r>
    </w:p>
    <w:p w:rsidR="2587832C" w:rsidP="5AC4DB83" w:rsidRDefault="2587832C" w14:paraId="7E3AA49E" w14:textId="6B4ED207">
      <w:pPr>
        <w:pStyle w:val="Normal"/>
        <w:ind w:left="0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Pr="005913BB" w:rsidR="005913BB" w:rsidP="005913BB" w:rsidRDefault="005913BB" w14:paraId="196E8653" w14:textId="0915F582">
      <w:pPr>
        <w:pStyle w:val="Heading3"/>
        <w:rPr>
          <w:rFonts w:eastAsia="Calibri"/>
          <w:b w:val="1"/>
          <w:bCs w:val="1"/>
          <w:color w:val="000000" w:themeColor="text1"/>
        </w:rPr>
      </w:pPr>
      <w:r w:rsidRPr="2C027622" w:rsidR="005913BB">
        <w:rPr>
          <w:rFonts w:eastAsia="Calibri"/>
          <w:b w:val="1"/>
          <w:bCs w:val="1"/>
          <w:color w:val="000000" w:themeColor="text1" w:themeTint="FF" w:themeShade="FF"/>
        </w:rPr>
        <w:t>Required Core (</w:t>
      </w:r>
      <w:r w:rsidRPr="2C027622" w:rsidR="7C6D90BB">
        <w:rPr>
          <w:rFonts w:eastAsia="Calibri"/>
          <w:b w:val="1"/>
          <w:bCs w:val="1"/>
          <w:color w:val="000000" w:themeColor="text1" w:themeTint="FF" w:themeShade="FF"/>
        </w:rPr>
        <w:t>29-31</w:t>
      </w:r>
      <w:r w:rsidRPr="2C027622" w:rsidR="005913BB">
        <w:rPr>
          <w:rFonts w:eastAsia="Calibri"/>
          <w:b w:val="1"/>
          <w:bCs w:val="1"/>
          <w:color w:val="000000" w:themeColor="text1" w:themeTint="FF" w:themeShade="FF"/>
        </w:rPr>
        <w:t xml:space="preserve"> units):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Elementary Teacher Education Required Core Courses"/>
        <w:tblDescription w:val="Classes required to meet the 45-46 units. "/>
      </w:tblPr>
      <w:tblGrid>
        <w:gridCol w:w="2515"/>
        <w:gridCol w:w="6840"/>
        <w:gridCol w:w="810"/>
        <w:gridCol w:w="1080"/>
        <w:gridCol w:w="810"/>
        <w:gridCol w:w="895"/>
      </w:tblGrid>
      <w:tr w:rsidR="005913BB" w:rsidTr="3F668E62" w14:paraId="0D7523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005913BB" w:rsidP="005913BB" w:rsidRDefault="005913BB" w14:paraId="33C36AB8" w14:textId="31DCBF9E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005913BB" w:rsidP="005913BB" w:rsidRDefault="005913BB" w14:paraId="6AE1DC53" w14:textId="1F49EF5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913BB" w:rsidP="005913BB" w:rsidRDefault="005913BB" w14:paraId="75CE40EE" w14:textId="74A8C2B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5913BB" w:rsidP="005913BB" w:rsidRDefault="005913BB" w14:paraId="049DD025" w14:textId="32F981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913BB" w:rsidP="005913BB" w:rsidRDefault="005913BB" w14:paraId="3546BB49" w14:textId="40FF924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005913BB" w:rsidP="005913BB" w:rsidRDefault="005913BB" w14:paraId="758BC0EC" w14:textId="5E5419A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  <w:t>Need</w:t>
            </w:r>
          </w:p>
        </w:tc>
      </w:tr>
      <w:tr w:rsidR="39FC6A62" w:rsidTr="3F668E62" w14:paraId="39FC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3B26CFF8" w:rsidP="39FC6A62" w:rsidRDefault="3B26CFF8" w14:paraId="357CF834" w14:textId="06E4E8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ANATOMY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4C73904E" w:rsidP="39FC6A62" w:rsidRDefault="4C73904E" w14:paraId="7D9D32FA" w14:textId="50F49D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4C73904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Introduction to Human </w:t>
            </w:r>
            <w:r w:rsidRPr="39FC6A62" w:rsidR="4C73904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Anatomy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4C73904E" w:rsidP="39FC6A62" w:rsidRDefault="4C73904E" w14:paraId="3ED5A770" w14:textId="49DABA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4C73904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9FC6A62" w:rsidP="39FC6A62" w:rsidRDefault="39FC6A62" w14:paraId="67B05871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9FC6A62" w:rsidP="39FC6A62" w:rsidRDefault="39FC6A62" w14:paraId="7324D72B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39FC6A62" w:rsidP="39FC6A62" w:rsidRDefault="39FC6A62" w14:paraId="6FDC95CC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9FC6A62" w:rsidTr="3F668E62" w14:paraId="531BE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3B26CFF8" w:rsidP="39FC6A62" w:rsidRDefault="3B26CFF8" w14:paraId="39A47214" w14:textId="327C39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BIOLOGY 003</w:t>
            </w:r>
          </w:p>
          <w:p w:rsidR="3B26CFF8" w:rsidP="39FC6A62" w:rsidRDefault="3B26CFF8" w14:paraId="22DD271D" w14:textId="472171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="3B26CFF8" w:rsidP="39FC6A62" w:rsidRDefault="3B26CFF8" w14:paraId="764224CE" w14:textId="4ABBCD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BIOLOGY 005</w:t>
            </w:r>
          </w:p>
          <w:p w:rsidR="3B26CFF8" w:rsidP="39FC6A62" w:rsidRDefault="3B26CFF8" w14:paraId="014EF86D" w14:textId="009286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="3B26CFF8" w:rsidP="39FC6A62" w:rsidRDefault="3B26CFF8" w14:paraId="5DDDC076" w14:textId="5FAABF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BIOLOGY 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002EC7A5" w:rsidP="39FC6A62" w:rsidRDefault="002EC7A5" w14:paraId="00666886" w14:textId="095B98F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Introduction to Biology</w:t>
            </w:r>
          </w:p>
          <w:p w:rsidR="39FC6A62" w:rsidP="39FC6A62" w:rsidRDefault="39FC6A62" w14:paraId="5750AEF6" w14:textId="5CB0A3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3BC7C1E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="002EC7A5" w:rsidP="39FC6A62" w:rsidRDefault="002EC7A5" w14:paraId="4422FE5D" w14:textId="1C60EF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Introduction to Human Biology</w:t>
            </w:r>
          </w:p>
          <w:p w:rsidR="39FC6A62" w:rsidP="39FC6A62" w:rsidRDefault="39FC6A62" w14:paraId="018466F7" w14:textId="3929C2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6C8F27F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="002EC7A5" w:rsidP="39FC6A62" w:rsidRDefault="002EC7A5" w14:paraId="0A36C7D4" w14:textId="0E2CA3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General Biology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2EC7A5" w:rsidP="39FC6A62" w:rsidRDefault="002EC7A5" w14:paraId="593A9A4F" w14:textId="1B1351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  <w:p w:rsidR="39FC6A62" w:rsidP="39FC6A62" w:rsidRDefault="39FC6A62" w14:paraId="45E84AD0" w14:textId="18BB11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2EC7A5" w:rsidP="39FC6A62" w:rsidRDefault="002EC7A5" w14:paraId="35E06580" w14:textId="54CB55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  <w:p w:rsidR="39FC6A62" w:rsidP="39FC6A62" w:rsidRDefault="39FC6A62" w14:paraId="5E6B0953" w14:textId="2915D55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2EC7A5" w:rsidP="39FC6A62" w:rsidRDefault="002EC7A5" w14:paraId="07311C4B" w14:textId="6B2017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02EC7A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9FC6A62" w:rsidP="39FC6A62" w:rsidRDefault="39FC6A62" w14:paraId="6692F0CD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9FC6A62" w:rsidP="39FC6A62" w:rsidRDefault="39FC6A62" w14:paraId="62F0996B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39FC6A62" w:rsidP="39FC6A62" w:rsidRDefault="39FC6A62" w14:paraId="3054F659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9FC6A62" w:rsidTr="3F668E62" w14:paraId="26DD6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3B26CFF8" w:rsidP="39FC6A62" w:rsidRDefault="3B26CFF8" w14:paraId="2C542F0B" w14:textId="4F50EC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CHEM 051 </w:t>
            </w:r>
          </w:p>
          <w:p w:rsidR="3B26CFF8" w:rsidP="39FC6A62" w:rsidRDefault="3B26CFF8" w14:paraId="4667944C" w14:textId="55F59E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="3B26CFF8" w:rsidP="39FC6A62" w:rsidRDefault="3B26CFF8" w14:paraId="0EFAD2E1" w14:textId="48B809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CHEM 065</w:t>
            </w:r>
          </w:p>
          <w:p w:rsidR="3B26CFF8" w:rsidP="39FC6A62" w:rsidRDefault="3B26CFF8" w14:paraId="12C40B1F" w14:textId="65F9AD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="3B26CFF8" w:rsidP="39FC6A62" w:rsidRDefault="3B26CFF8" w14:paraId="30B9362D" w14:textId="4AC633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CHEM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71D836A2" w:rsidP="39FC6A62" w:rsidRDefault="71D836A2" w14:paraId="77BFBA6C" w14:textId="773574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Fundamentals of Chemistry I</w:t>
            </w:r>
          </w:p>
          <w:p w:rsidR="39FC6A62" w:rsidP="39FC6A62" w:rsidRDefault="39FC6A62" w14:paraId="382A463A" w14:textId="23756D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31CC36F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="71D836A2" w:rsidP="39FC6A62" w:rsidRDefault="71D836A2" w14:paraId="515B2127" w14:textId="2AEF69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Introduction</w:t>
            </w: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to General Chemistry </w:t>
            </w:r>
          </w:p>
          <w:p w:rsidR="39FC6A62" w:rsidP="39FC6A62" w:rsidRDefault="39FC6A62" w14:paraId="5A7C9CE7" w14:textId="5F4054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7D24B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="71D836A2" w:rsidP="39FC6A62" w:rsidRDefault="71D836A2" w14:paraId="74BB0158" w14:textId="0A481D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General Chemistry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71D836A2" w:rsidP="39FC6A62" w:rsidRDefault="71D836A2" w14:paraId="171F4345" w14:textId="7BC9D2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5</w:t>
            </w:r>
          </w:p>
          <w:p w:rsidR="39FC6A62" w:rsidP="39FC6A62" w:rsidRDefault="39FC6A62" w14:paraId="16F31D6C" w14:textId="511FEC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71D836A2" w:rsidP="39FC6A62" w:rsidRDefault="71D836A2" w14:paraId="0DD1EAF0" w14:textId="741F9F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  <w:p w:rsidR="39FC6A62" w:rsidP="39FC6A62" w:rsidRDefault="39FC6A62" w14:paraId="39948CDD" w14:textId="3A90BC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71D836A2" w:rsidP="39FC6A62" w:rsidRDefault="71D836A2" w14:paraId="304EB1B9" w14:textId="62F1BB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71D836A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9FC6A62" w:rsidP="39FC6A62" w:rsidRDefault="39FC6A62" w14:paraId="3CA3DA96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9FC6A62" w:rsidP="39FC6A62" w:rsidRDefault="39FC6A62" w14:paraId="46D4A35C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39FC6A62" w:rsidP="39FC6A62" w:rsidRDefault="39FC6A62" w14:paraId="33F8913D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5913BB" w:rsidTr="3F668E62" w14:paraId="6C0761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5913BB" w:rsidR="005913BB" w:rsidP="2C027622" w:rsidRDefault="005913BB" w14:paraId="61CDC923" w14:textId="7447D5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HEALTH 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5913BB" w:rsidR="005913BB" w:rsidP="2C027622" w:rsidRDefault="005913BB" w14:paraId="2EAA3EC0" w14:textId="6F3CE6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2C027622" w:rsidR="3B26CFF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Principles of Healthful Living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2C027622" w:rsidRDefault="005913BB" w14:paraId="543608F7" w14:textId="1F9CB6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2C027622" w:rsidR="3B26CFF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5913BB" w:rsidR="005913BB" w:rsidP="005913BB" w:rsidRDefault="005913BB" w14:paraId="3802D4E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005913BB" w:rsidRDefault="005913BB" w14:paraId="5FAF893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5913BB" w:rsidR="005913BB" w:rsidP="005913BB" w:rsidRDefault="005913BB" w14:paraId="6C2F421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913BB" w:rsidTr="3F668E62" w14:paraId="523A0A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5913BB" w:rsidR="005913BB" w:rsidP="2C027622" w:rsidRDefault="005913BB" w14:paraId="7221CF9C" w14:textId="554D79C1">
            <w:pPr>
              <w:autoSpaceDE w:val="0"/>
              <w:autoSpaceDN w:val="0"/>
              <w:adjustRightInd w:val="0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HEALTH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5913BB" w:rsidR="005913BB" w:rsidP="2C027622" w:rsidRDefault="005913BB" w14:paraId="162688F0" w14:textId="55C44F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2C027622" w:rsidR="3B26CFF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Introduction to Public Health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2C027622" w:rsidRDefault="005913BB" w14:paraId="5F601D00" w14:textId="1C8F04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62BBA1F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5913BB" w:rsidR="005913BB" w:rsidP="005913BB" w:rsidRDefault="005913BB" w14:paraId="0545839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005913BB" w:rsidRDefault="005913BB" w14:paraId="56D5CB4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5913BB" w:rsidR="005913BB" w:rsidP="005913BB" w:rsidRDefault="005913BB" w14:paraId="62E3A4E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913BB" w:rsidTr="3F668E62" w14:paraId="2E39D9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5913BB" w:rsidR="005913BB" w:rsidP="2C027622" w:rsidRDefault="005913BB" w14:paraId="30D62473" w14:textId="3A0568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MATH 227</w:t>
            </w:r>
          </w:p>
          <w:p w:rsidRPr="005913BB" w:rsidR="005913BB" w:rsidP="2C027622" w:rsidRDefault="005913BB" w14:paraId="44A80761" w14:textId="43FA65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Pr="005913BB" w:rsidR="005913BB" w:rsidP="2C027622" w:rsidRDefault="005913BB" w14:paraId="398016E6" w14:textId="309FE5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MATH 227 A+B</w:t>
            </w:r>
          </w:p>
          <w:p w:rsidRPr="005913BB" w:rsidR="005913BB" w:rsidP="2C027622" w:rsidRDefault="005913BB" w14:paraId="0EECB43B" w14:textId="19DB1F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OR</w:t>
            </w:r>
          </w:p>
          <w:p w:rsidRPr="005913BB" w:rsidR="005913BB" w:rsidP="2C027622" w:rsidRDefault="005913BB" w14:paraId="3F8E8A43" w14:textId="7AAEE7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MATH 227S</w:t>
            </w:r>
          </w:p>
          <w:p w:rsidRPr="005913BB" w:rsidR="005913BB" w:rsidP="2C027622" w:rsidRDefault="005913BB" w14:paraId="2FA1C6B7" w14:textId="1ABC28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OR </w:t>
            </w:r>
          </w:p>
          <w:p w:rsidRPr="005913BB" w:rsidR="005913BB" w:rsidP="2C027622" w:rsidRDefault="005913BB" w14:paraId="17AE257B" w14:textId="6989CE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5913BB" w:rsidR="005913BB" w:rsidP="4DE6FCE9" w:rsidRDefault="005913BB" w14:paraId="570CF3F0" w14:textId="0EA04E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Statistics</w:t>
            </w:r>
          </w:p>
          <w:p w:rsidRPr="005913BB" w:rsidR="005913BB" w:rsidP="4DE6FCE9" w:rsidRDefault="005913BB" w14:paraId="3F41E9F8" w14:textId="5FDBC3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471E57C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Pr="005913BB" w:rsidR="005913BB" w:rsidP="4DE6FCE9" w:rsidRDefault="005913BB" w14:paraId="2267D38E" w14:textId="483DA6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Statistics I + II</w:t>
            </w:r>
          </w:p>
          <w:p w:rsidRPr="005913BB" w:rsidR="005913BB" w:rsidP="4DE6FCE9" w:rsidRDefault="005913BB" w14:paraId="7B2A8ED7" w14:textId="0B7EEE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0B6A167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Pr="005913BB" w:rsidR="005913BB" w:rsidP="4DE6FCE9" w:rsidRDefault="005913BB" w14:paraId="64E26DE5" w14:textId="01BB50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Statistics with Support</w:t>
            </w:r>
          </w:p>
          <w:p w:rsidRPr="005913BB" w:rsidR="005913BB" w:rsidP="4DE6FCE9" w:rsidRDefault="005913BB" w14:paraId="628B5217" w14:textId="33D56A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F081B74" w:rsidR="033394D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or</w:t>
            </w:r>
          </w:p>
          <w:p w:rsidRPr="005913BB" w:rsidR="005913BB" w:rsidP="2C027622" w:rsidRDefault="005913BB" w14:paraId="0EE0902A" w14:textId="3DBEFA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4DE6FCE9" w:rsidRDefault="005913BB" w14:paraId="54566E4B" w14:textId="5A086D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  <w:p w:rsidRPr="005913BB" w:rsidR="005913BB" w:rsidP="4DE6FCE9" w:rsidRDefault="005913BB" w14:paraId="5CA6506C" w14:textId="20EC7A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913BB" w:rsidR="005913BB" w:rsidP="4DE6FCE9" w:rsidRDefault="005913BB" w14:paraId="35B3C11E" w14:textId="4D5428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2/2</w:t>
            </w:r>
          </w:p>
          <w:p w:rsidRPr="005913BB" w:rsidR="005913BB" w:rsidP="4DE6FCE9" w:rsidRDefault="005913BB" w14:paraId="4A74C114" w14:textId="4FBE73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913BB" w:rsidR="005913BB" w:rsidP="4DE6FCE9" w:rsidRDefault="005913BB" w14:paraId="3C3740BF" w14:textId="23A209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  <w:p w:rsidRPr="005913BB" w:rsidR="005913BB" w:rsidP="4DE6FCE9" w:rsidRDefault="005913BB" w14:paraId="21DDCAA9" w14:textId="3356D8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913BB" w:rsidR="005913BB" w:rsidP="2C027622" w:rsidRDefault="005913BB" w14:paraId="580762BD" w14:textId="1F99DD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AB1B60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5913BB" w:rsidR="005913BB" w:rsidP="005913BB" w:rsidRDefault="005913BB" w14:paraId="2E63D17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005913BB" w:rsidRDefault="005913BB" w14:paraId="46669B4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5913BB" w:rsidR="005913BB" w:rsidP="005913BB" w:rsidRDefault="005913BB" w14:paraId="69604B6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39FC6A62" w:rsidTr="3F668E62" w14:paraId="7366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3B26CFF8" w:rsidP="39FC6A62" w:rsidRDefault="3B26CFF8" w14:paraId="48D3DD9E" w14:textId="2DB531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PHYSIOL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096E674B" w:rsidP="39FC6A62" w:rsidRDefault="096E674B" w14:paraId="2A5D7630" w14:textId="1F83FD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96E674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Introduction</w:t>
            </w:r>
            <w:r w:rsidRPr="39FC6A62" w:rsidR="096E674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to Human Physiology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96E674B" w:rsidP="39FC6A62" w:rsidRDefault="096E674B" w14:paraId="2D0F59C3" w14:textId="202FDC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096E674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9FC6A62" w:rsidP="39FC6A62" w:rsidRDefault="39FC6A62" w14:paraId="034DB52E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9FC6A62" w:rsidP="39FC6A62" w:rsidRDefault="39FC6A62" w14:paraId="6825AD88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39FC6A62" w:rsidP="39FC6A62" w:rsidRDefault="39FC6A62" w14:paraId="35B67662">
            <w:p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5913BB" w:rsidTr="3F668E62" w14:paraId="652B63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5913BB" w:rsidR="005913BB" w:rsidP="2C027622" w:rsidRDefault="005913BB" w14:paraId="26F880C9" w14:textId="2F9603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3F668E62" w:rsidR="3B26CFF8">
              <w:rPr>
                <w:rFonts w:ascii="Calibri" w:hAnsi="Calibri"/>
                <w:b w:val="0"/>
                <w:bCs w:val="0"/>
                <w:sz w:val="24"/>
                <w:szCs w:val="24"/>
              </w:rPr>
              <w:t>PSYCH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5913BB" w:rsidR="005913BB" w:rsidP="2C027622" w:rsidRDefault="005913BB" w14:paraId="26716ED2" w14:textId="1CBE0A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4B1CA77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General Psychology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2C027622" w:rsidRDefault="005913BB" w14:paraId="68B532EC" w14:textId="7341CC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4B1CA77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5913BB" w:rsidR="005913BB" w:rsidP="2C027622" w:rsidRDefault="005913BB" w14:paraId="0A6F7043" w14:textId="784A0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cstheme="minorAscii"/>
                <w:color w:val="000000"/>
                <w:sz w:val="24"/>
                <w:szCs w:val="24"/>
              </w:rPr>
            </w:pPr>
            <w:r w:rsidRPr="2C027622" w:rsidR="3B26CFF8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3BB" w:rsidR="005913BB" w:rsidP="005913BB" w:rsidRDefault="005913BB" w14:paraId="70327CB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5913BB" w:rsidR="005913BB" w:rsidP="005913BB" w:rsidRDefault="005913BB" w14:paraId="5BE7C2D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2C027622" w:rsidRDefault="2C027622" w14:paraId="46C2E840" w14:textId="0D2A1ECA"/>
    <w:p w:rsidRPr="005913BB" w:rsidR="005913BB" w:rsidP="005913BB" w:rsidRDefault="005913BB" w14:paraId="20FC847A" w14:textId="77777777">
      <w:pPr>
        <w:autoSpaceDE w:val="0"/>
        <w:autoSpaceDN w:val="0"/>
        <w:adjustRightInd w:val="0"/>
        <w:rPr>
          <w:rFonts w:eastAsia="Calibri" w:asciiTheme="minorHAnsi" w:hAnsiTheme="minorHAnsi" w:cstheme="minorHAnsi"/>
          <w:color w:val="000000"/>
          <w:sz w:val="24"/>
          <w:szCs w:val="24"/>
        </w:rPr>
      </w:pPr>
    </w:p>
    <w:p w:rsidRPr="007A4D5F" w:rsidR="007A4D5F" w:rsidP="007A4D5F" w:rsidRDefault="007A4D5F" w14:paraId="0B679B1C" w14:textId="365B947C">
      <w:pPr>
        <w:pStyle w:val="Heading3"/>
        <w:rPr>
          <w:rStyle w:val="normaltextrun"/>
          <w:b/>
          <w:bCs/>
          <w:color w:val="000000" w:themeColor="text1"/>
        </w:rPr>
      </w:pPr>
      <w:r w:rsidRPr="007A4D5F">
        <w:rPr>
          <w:rStyle w:val="normaltextrun"/>
          <w:b/>
          <w:bCs/>
          <w:color w:val="000000" w:themeColor="text1"/>
        </w:rPr>
        <w:t>List A</w:t>
      </w:r>
    </w:p>
    <w:p w:rsidRPr="007A4D5F" w:rsidR="00FE30C7" w:rsidRDefault="007A4D5F" w14:paraId="2B7B942E" w14:textId="1DB9A3A7">
      <w:pPr>
        <w:rPr>
          <w:sz w:val="24"/>
          <w:szCs w:val="24"/>
        </w:rPr>
      </w:pPr>
      <w:r w:rsidRPr="007A4D5F" w:rsidR="007A4D5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Select ONE </w:t>
      </w:r>
      <w:r w:rsidRPr="007A4D5F" w:rsidR="0F1D21C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of the following courses</w:t>
      </w:r>
      <w:r w:rsidRPr="007A4D5F" w:rsidR="007A4D5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</w:t>
      </w:r>
      <w:r w:rsidRPr="007A4D5F" w:rsidR="164CD861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3</w:t>
      </w:r>
      <w:r w:rsidRPr="007A4D5F" w:rsidR="007A4D5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units):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 Science Course"/>
        <w:tblDescription w:val="Three science courses available to meet List A requirements."/>
      </w:tblPr>
      <w:tblGrid>
        <w:gridCol w:w="2515"/>
        <w:gridCol w:w="6840"/>
        <w:gridCol w:w="810"/>
        <w:gridCol w:w="1080"/>
        <w:gridCol w:w="810"/>
        <w:gridCol w:w="895"/>
      </w:tblGrid>
      <w:tr w:rsidRPr="007A4D5F" w:rsidR="005913BB" w:rsidTr="3F668E62" w14:paraId="385FF1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7A4D5F" w:rsidR="005913BB" w:rsidP="005913BB" w:rsidRDefault="005913BB" w14:paraId="2BC258B2" w14:textId="7ACBD5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7A4D5F" w:rsidR="005913BB" w:rsidP="005913BB" w:rsidRDefault="005913BB" w14:paraId="59D17237" w14:textId="304522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005913BB" w:rsidRDefault="005913BB" w14:paraId="531781BE" w14:textId="4B81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7A4D5F" w:rsidR="005913BB" w:rsidP="005913BB" w:rsidRDefault="005913BB" w14:paraId="47D94717" w14:textId="07220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005913BB" w:rsidRDefault="005913BB" w14:paraId="75891ADD" w14:textId="4ADAB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7A4D5F" w:rsidR="005913BB" w:rsidP="005913BB" w:rsidRDefault="005913BB" w14:paraId="27D88480" w14:textId="59F05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4D5F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</w:p>
        </w:tc>
      </w:tr>
      <w:tr w:rsidRPr="007A4D5F" w:rsidR="005913BB" w:rsidTr="3F668E62" w14:paraId="269C28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7A4D5F" w:rsidR="005913BB" w:rsidP="2C027622" w:rsidRDefault="005913BB" w14:paraId="53CDF962" w14:textId="42CEC4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7B2E880C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ECON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7A4D5F" w:rsidR="005913BB" w:rsidP="2C027622" w:rsidRDefault="005913BB" w14:paraId="1FE4FF7E" w14:textId="4C1293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035AF64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Principles of Economics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2C027622" w:rsidRDefault="005913BB" w14:paraId="2F2A44EA" w14:textId="6594AC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62AD68E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7A4D5F" w:rsidR="005913BB" w:rsidP="005913BB" w:rsidRDefault="005913BB" w14:paraId="03A28B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005913BB" w:rsidRDefault="005913BB" w14:paraId="0DBDDE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7A4D5F" w:rsidR="005913BB" w:rsidP="005913BB" w:rsidRDefault="005913BB" w14:paraId="481347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7A4D5F" w:rsidR="005913BB" w:rsidTr="3F668E62" w14:paraId="3A02A3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7A4D5F" w:rsidR="005913BB" w:rsidP="2C027622" w:rsidRDefault="005913BB" w14:paraId="4FC33371" w14:textId="1FD7F6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7B2E880C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ECON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7A4D5F" w:rsidR="005913BB" w:rsidP="2C027622" w:rsidRDefault="005913BB" w14:paraId="0E99609A" w14:textId="205A72B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67D753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Principles of Economics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2C027622" w:rsidRDefault="005913BB" w14:paraId="2D1BB2A9" w14:textId="302EC6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6900563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7A4D5F" w:rsidR="005913BB" w:rsidP="005913BB" w:rsidRDefault="005913BB" w14:paraId="1AA1D8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005913BB" w:rsidRDefault="005913BB" w14:paraId="4DFBC8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7A4D5F" w:rsidR="005913BB" w:rsidP="005913BB" w:rsidRDefault="005913BB" w14:paraId="4F3EDF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39FC6A62" w:rsidTr="3F668E62" w14:paraId="6751B6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6D16137F" w:rsidP="39FC6A62" w:rsidRDefault="6D16137F" w14:paraId="50CB30C9" w14:textId="334DD031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6D16137F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HEALTH 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33108E2B" w:rsidP="39FC6A62" w:rsidRDefault="33108E2B" w14:paraId="12770D67" w14:textId="7A8F50E9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33108E2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Women’s Personal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01FCCB7" w:rsidP="39FC6A62" w:rsidRDefault="301FCCB7" w14:paraId="21105415" w14:textId="2E8E851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9FC6A62" w:rsidR="301FCCB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9FC6A62" w:rsidP="39FC6A62" w:rsidRDefault="39FC6A62" w14:paraId="748D29A8" w14:textId="1FC018DB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39FC6A62" w:rsidP="39FC6A62" w:rsidRDefault="39FC6A62" w14:paraId="5B63C898" w14:textId="66452A36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39FC6A62" w:rsidP="39FC6A62" w:rsidRDefault="39FC6A62" w14:paraId="69B007FA" w14:textId="610BA0DA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7A4D5F" w:rsidR="005913BB" w:rsidTr="3F668E62" w14:paraId="325B6F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Pr="007A4D5F" w:rsidR="005913BB" w:rsidP="2C027622" w:rsidRDefault="005913BB" w14:paraId="123C77F5" w14:textId="0E070D34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6D16137F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NUTRTN 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Pr="007A4D5F" w:rsidR="005913BB" w:rsidP="2C027622" w:rsidRDefault="005913BB" w14:paraId="34D2B8F6" w14:textId="68E5D8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1A5DF29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Nutrition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2C027622" w:rsidRDefault="005913BB" w14:paraId="130E8FBC" w14:textId="58168E5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762BECB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Pr="007A4D5F" w:rsidR="005913BB" w:rsidP="005913BB" w:rsidRDefault="005913BB" w14:paraId="30ACD5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7A4D5F" w:rsidR="005913BB" w:rsidP="005913BB" w:rsidRDefault="005913BB" w14:paraId="717503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Pr="007A4D5F" w:rsidR="005913BB" w:rsidP="005913BB" w:rsidRDefault="005913BB" w14:paraId="311CA1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2C027622" w:rsidTr="3F668E62" w14:paraId="08B74D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6D16137F" w:rsidP="2C027622" w:rsidRDefault="6D16137F" w14:paraId="36882079" w14:textId="1A94700B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6D16137F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PSYCH 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2C027622" w:rsidP="2C027622" w:rsidRDefault="2C027622" w14:paraId="69379075" w14:textId="1F6640B2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089870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Psychological Aspects of Human Sexuality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2C027622" w:rsidP="2C027622" w:rsidRDefault="2C027622" w14:paraId="2200F8FE" w14:textId="778F01A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30F67B3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2C027622" w:rsidP="2C027622" w:rsidRDefault="2C027622" w14:paraId="58BAE1C9" w14:textId="4B684097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2C027622" w:rsidP="2C027622" w:rsidRDefault="2C027622" w14:paraId="1FD227BB" w14:textId="2336006C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2C027622" w:rsidP="2C027622" w:rsidRDefault="2C027622" w14:paraId="26E20FEC" w14:textId="0B51E6BB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2C027622" w:rsidTr="3F668E62" w14:paraId="2BE11A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Mar/>
          </w:tcPr>
          <w:p w:rsidR="6D16137F" w:rsidP="2C027622" w:rsidRDefault="6D16137F" w14:paraId="51FA0E6A" w14:textId="23C3934A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</w:pPr>
            <w:r w:rsidRPr="3F668E62" w:rsidR="6D16137F">
              <w:rPr>
                <w:rFonts w:ascii="Calibri" w:hAnsi="Calibri" w:cs="Calibri" w:asciiTheme="minorAscii" w:hAnsiTheme="minorAscii" w:cstheme="minorAscii"/>
                <w:b w:val="0"/>
                <w:bCs w:val="0"/>
                <w:sz w:val="24"/>
                <w:szCs w:val="24"/>
              </w:rPr>
              <w:t>SOC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2C027622" w:rsidP="2C027622" w:rsidRDefault="2C027622" w14:paraId="566EEEBE" w14:textId="0F03B239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19FA6C1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Introduction to Sociology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2C027622" w:rsidP="2C027622" w:rsidRDefault="2C027622" w14:paraId="6E7950E6" w14:textId="7ED99A8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DE6FCE9" w:rsidR="214012E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2C027622" w:rsidP="2C027622" w:rsidRDefault="2C027622" w14:paraId="180CF853" w14:textId="756F8B84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2C027622" w:rsidP="2C027622" w:rsidRDefault="2C027622" w14:paraId="75280DB5" w14:textId="60ABF29F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5" w:type="dxa"/>
            <w:tcMar/>
          </w:tcPr>
          <w:p w:rsidR="2C027622" w:rsidP="2C027622" w:rsidRDefault="2C027622" w14:paraId="705FCF0F" w14:textId="2AAB1A9B">
            <w:pPr>
              <w:pStyle w:val="Normal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</w:tbl>
    <w:p w:rsidR="005913BB" w:rsidRDefault="005913BB" w14:paraId="140D74F9" w14:textId="77777777"/>
    <w:p w:rsidRPr="007A4D5F" w:rsidR="007A4D5F" w:rsidP="2C027622" w:rsidRDefault="5FDBEB60" w14:paraId="78BFCF8F" w14:textId="3932431D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游明朝" w:cs="Arial" w:asciiTheme="minorAscii" w:hAnsiTheme="minorAscii" w:eastAsiaTheme="minorEastAsia" w:cstheme="minorBidi"/>
        </w:rPr>
      </w:pPr>
      <w:r w:rsidRPr="2C027622" w:rsidR="5FDBEB60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Total Units for the Major: </w:t>
      </w:r>
      <w:r w:rsidRPr="2C027622" w:rsidR="2E10F2FC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32-43</w:t>
      </w:r>
      <w:r w:rsidRPr="2C027622" w:rsidR="5FDBEB60">
        <w:rPr>
          <w:rStyle w:val="eop"/>
          <w:rFonts w:ascii="Calibri" w:hAnsi="Calibri" w:eastAsia="游明朝" w:cs="Arial" w:asciiTheme="minorAscii" w:hAnsiTheme="minorAscii" w:eastAsiaTheme="minorEastAsia" w:cstheme="minorBidi"/>
        </w:rPr>
        <w:t> </w:t>
      </w:r>
    </w:p>
    <w:p w:rsidR="007A4D5F" w:rsidP="007A4D5F" w:rsidRDefault="007A4D5F" w14:paraId="718AA6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C027622" w:rsidR="007A4D5F">
        <w:rPr>
          <w:rStyle w:val="normaltextrun"/>
          <w:b w:val="1"/>
          <w:bCs w:val="1"/>
          <w:i w:val="1"/>
          <w:iCs w:val="1"/>
          <w:sz w:val="20"/>
          <w:szCs w:val="20"/>
        </w:rPr>
        <w:t>       </w:t>
      </w:r>
      <w:r w:rsidRPr="2C027622" w:rsidR="007A4D5F">
        <w:rPr>
          <w:rStyle w:val="eop"/>
          <w:sz w:val="20"/>
          <w:szCs w:val="20"/>
        </w:rPr>
        <w:t> </w:t>
      </w:r>
    </w:p>
    <w:p w:rsidRPr="007A4D5F" w:rsidR="007A4D5F" w:rsidRDefault="007A4D5F" w14:paraId="1F674F30" w14:textId="77777777">
      <w:pPr>
        <w:rPr>
          <w:b/>
          <w:bCs/>
          <w:sz w:val="24"/>
          <w:szCs w:val="24"/>
        </w:rPr>
      </w:pPr>
    </w:p>
    <w:sectPr w:rsidRPr="007A4D5F" w:rsidR="007A4D5F" w:rsidSect="005913BB">
      <w:pgSz w:w="15840" w:h="12240" w:orient="landscape"/>
      <w:pgMar w:top="1080" w:right="1440" w:bottom="1080" w:left="1440" w:header="720" w:footer="720" w:gutter="0"/>
      <w:cols w:space="720"/>
      <w:docGrid w:linePitch="360"/>
      <w:headerReference w:type="default" r:id="Rf7ec637fc3184dd1"/>
      <w:footerReference w:type="default" r:id="R3ef927cb29dc4d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charset w:val="00"/>
    <w:family w:val="roman"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322A4A29" w:rsidP="322A4A29" w:rsidRDefault="322A4A29" w14:paraId="5525B2DF" w14:textId="18858CC1">
    <w:pPr>
      <w:pStyle w:val="Footer"/>
      <w:bidi w:val="0"/>
    </w:pPr>
    <w:r w:rsidR="01C4A3BA">
      <w:rPr/>
      <w:t>Articulation Office 2</w:t>
    </w:r>
    <w:r w:rsidR="01C4A3BA">
      <w:rPr/>
      <w:t>4</w:t>
    </w:r>
    <w:r w:rsidR="01C4A3BA">
      <w:rPr/>
      <w:t>-2</w:t>
    </w:r>
    <w:r w:rsidR="01C4A3BA">
      <w:rPr/>
      <w:t>5</w:t>
    </w:r>
  </w:p>
</w:ftr>
</file>

<file path=word/header.xml><?xml version="1.0" encoding="utf-8"?>
<w:hdr xmlns:w14="http://schemas.microsoft.com/office/word/2010/wordml" xmlns:w="http://schemas.openxmlformats.org/wordprocessingml/2006/main">
  <w:p w:rsidR="322A4A29" w:rsidP="322A4A29" w:rsidRDefault="322A4A29" w14:paraId="70D31DAE" w14:textId="7BBA902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665C6"/>
    <w:multiLevelType w:val="hybridMultilevel"/>
    <w:tmpl w:val="5AACE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B"/>
    <w:rsid w:val="001E646F"/>
    <w:rsid w:val="002EC7A5"/>
    <w:rsid w:val="005637C9"/>
    <w:rsid w:val="005913BB"/>
    <w:rsid w:val="007022F1"/>
    <w:rsid w:val="007A4D5F"/>
    <w:rsid w:val="00963FE3"/>
    <w:rsid w:val="009B3D28"/>
    <w:rsid w:val="00FE30C7"/>
    <w:rsid w:val="01C4A3BA"/>
    <w:rsid w:val="033394DB"/>
    <w:rsid w:val="035AF64A"/>
    <w:rsid w:val="04E942D0"/>
    <w:rsid w:val="08D4C2C5"/>
    <w:rsid w:val="096E674B"/>
    <w:rsid w:val="09A38B96"/>
    <w:rsid w:val="0B6A167D"/>
    <w:rsid w:val="0E76FCB9"/>
    <w:rsid w:val="0EEF2BFC"/>
    <w:rsid w:val="0F1D21C6"/>
    <w:rsid w:val="1015A43A"/>
    <w:rsid w:val="11AE9D7B"/>
    <w:rsid w:val="12285AB9"/>
    <w:rsid w:val="134A6DDC"/>
    <w:rsid w:val="164CD861"/>
    <w:rsid w:val="181DDEFF"/>
    <w:rsid w:val="19FA6C17"/>
    <w:rsid w:val="1A5DF298"/>
    <w:rsid w:val="1CF93DA8"/>
    <w:rsid w:val="2089870F"/>
    <w:rsid w:val="214012E3"/>
    <w:rsid w:val="2244DE0E"/>
    <w:rsid w:val="24FAFBC8"/>
    <w:rsid w:val="2587832C"/>
    <w:rsid w:val="267D753B"/>
    <w:rsid w:val="26DC0220"/>
    <w:rsid w:val="2748109A"/>
    <w:rsid w:val="27DFDA86"/>
    <w:rsid w:val="2AB1B604"/>
    <w:rsid w:val="2BD297F7"/>
    <w:rsid w:val="2C027622"/>
    <w:rsid w:val="2E10F2FC"/>
    <w:rsid w:val="301FCCB7"/>
    <w:rsid w:val="30F67B3F"/>
    <w:rsid w:val="31CC36F4"/>
    <w:rsid w:val="322A4A29"/>
    <w:rsid w:val="33108E2B"/>
    <w:rsid w:val="382A151B"/>
    <w:rsid w:val="39FC6A62"/>
    <w:rsid w:val="3B26CFF8"/>
    <w:rsid w:val="3BB4547D"/>
    <w:rsid w:val="3BC7C1E1"/>
    <w:rsid w:val="3C98D4D7"/>
    <w:rsid w:val="3E784F15"/>
    <w:rsid w:val="3F081B74"/>
    <w:rsid w:val="3F668E62"/>
    <w:rsid w:val="424AE263"/>
    <w:rsid w:val="463CD175"/>
    <w:rsid w:val="471E57C7"/>
    <w:rsid w:val="4B1CA77C"/>
    <w:rsid w:val="4B31F08D"/>
    <w:rsid w:val="4C73904E"/>
    <w:rsid w:val="4DE6FCE9"/>
    <w:rsid w:val="52287EF4"/>
    <w:rsid w:val="54744A49"/>
    <w:rsid w:val="5AC4DB83"/>
    <w:rsid w:val="5E9C73E3"/>
    <w:rsid w:val="5FDBEB60"/>
    <w:rsid w:val="62AD68E2"/>
    <w:rsid w:val="62BBA1FC"/>
    <w:rsid w:val="69005632"/>
    <w:rsid w:val="6A772B65"/>
    <w:rsid w:val="6C8F27FC"/>
    <w:rsid w:val="6D16137F"/>
    <w:rsid w:val="6E01722E"/>
    <w:rsid w:val="6F9D428F"/>
    <w:rsid w:val="71962C1A"/>
    <w:rsid w:val="71D836A2"/>
    <w:rsid w:val="762BECB1"/>
    <w:rsid w:val="766701E0"/>
    <w:rsid w:val="783792F9"/>
    <w:rsid w:val="7B2E880C"/>
    <w:rsid w:val="7C6D90BB"/>
    <w:rsid w:val="7D24B6A2"/>
    <w:rsid w:val="7EA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10146"/>
  <w15:chartTrackingRefBased/>
  <w15:docId w15:val="{9F5EA6FE-A30B-466F-AE48-8B4454A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3BB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3B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3B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3B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3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3BB"/>
    <w:pPr>
      <w:ind w:left="720"/>
      <w:contextualSpacing/>
    </w:pPr>
  </w:style>
  <w:style w:type="character" w:styleId="normaltextrun" w:customStyle="1">
    <w:name w:val="normaltextrun"/>
    <w:basedOn w:val="DefaultParagraphFont"/>
    <w:rsid w:val="005913BB"/>
  </w:style>
  <w:style w:type="character" w:styleId="eop" w:customStyle="1">
    <w:name w:val="eop"/>
    <w:basedOn w:val="DefaultParagraphFont"/>
    <w:rsid w:val="005913BB"/>
  </w:style>
  <w:style w:type="paragraph" w:styleId="Header">
    <w:name w:val="header"/>
    <w:basedOn w:val="Normal"/>
    <w:link w:val="HeaderChar"/>
    <w:rsid w:val="005913BB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5913BB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913BB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913BB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5913BB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5913BB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5913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5913BB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5913BB"/>
    <w:rPr>
      <w:rFonts w:asciiTheme="majorHAnsi" w:hAnsiTheme="majorHAnsi" w:eastAsiaTheme="majorEastAsia" w:cstheme="majorBidi"/>
      <w:color w:val="1F3763" w:themeColor="accent1" w:themeShade="7F"/>
      <w:kern w:val="0"/>
      <w14:ligatures w14:val="none"/>
    </w:rPr>
  </w:style>
  <w:style w:type="paragraph" w:styleId="paragraph" w:customStyle="1">
    <w:name w:val="paragraph"/>
    <w:basedOn w:val="Normal"/>
    <w:rsid w:val="007A4D5F"/>
    <w:pPr>
      <w:spacing w:before="100" w:beforeAutospacing="1" w:after="100" w:afterAutospacing="1"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eader" Target="header.xml" Id="Rf7ec637fc3184dd1" /><Relationship Type="http://schemas.openxmlformats.org/officeDocument/2006/relationships/footer" Target="footer.xml" Id="R3ef927cb29dc4d93" /><Relationship Type="http://schemas.openxmlformats.org/officeDocument/2006/relationships/hyperlink" Target="https://www.calstate.edu/apply/transfer/Pages/associate-degree-for-transfer-major-and-campus-search.aspx" TargetMode="External" Id="Ra4f47b99abdd49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13</revision>
  <dcterms:created xsi:type="dcterms:W3CDTF">2023-05-03T17:31:00.0000000Z</dcterms:created>
  <dcterms:modified xsi:type="dcterms:W3CDTF">2024-06-18T20:52:10.6494239Z</dcterms:modified>
</coreProperties>
</file>